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F56F" w14:textId="77777777" w:rsidR="00315D31" w:rsidRPr="00315D31" w:rsidRDefault="003D133F" w:rsidP="00315D31">
      <w:pPr>
        <w:pStyle w:val="Title"/>
      </w:pPr>
      <w:r w:rsidRPr="00315D31">
        <w:t xml:space="preserve">Acting as an </w:t>
      </w:r>
      <w:r w:rsidR="00F30CA0" w:rsidRPr="00315D31">
        <w:t>a</w:t>
      </w:r>
      <w:r w:rsidRPr="00315D31">
        <w:t>ttorney</w:t>
      </w:r>
      <w:r w:rsidR="008D4C8E" w:rsidRPr="00315D31">
        <w:t xml:space="preserve"> </w:t>
      </w:r>
      <w:proofErr w:type="gramStart"/>
      <w:r w:rsidR="00F30CA0" w:rsidRPr="00315D31">
        <w:t>f</w:t>
      </w:r>
      <w:r w:rsidR="008D4C8E" w:rsidRPr="00315D31">
        <w:t xml:space="preserve">ees &amp; </w:t>
      </w:r>
      <w:r w:rsidR="00F30CA0" w:rsidRPr="00315D31">
        <w:t>c</w:t>
      </w:r>
      <w:r w:rsidR="008D4C8E" w:rsidRPr="00315D31">
        <w:t>harges</w:t>
      </w:r>
      <w:proofErr w:type="gramEnd"/>
    </w:p>
    <w:p w14:paraId="72343652" w14:textId="2F193487" w:rsidR="001B1CB9" w:rsidRDefault="008D4C8E" w:rsidP="00315D31">
      <w:r>
        <w:t>__________________________________________________________________________</w:t>
      </w:r>
      <w:r w:rsidR="00FF2A0E">
        <w:t>______________________________</w:t>
      </w:r>
    </w:p>
    <w:p w14:paraId="5814E5E5" w14:textId="77777777" w:rsidR="001B1CB9" w:rsidRDefault="001B1CB9" w:rsidP="00123106">
      <w:pPr>
        <w:pStyle w:val="BodyText"/>
      </w:pPr>
    </w:p>
    <w:p w14:paraId="34C45C2E" w14:textId="77777777" w:rsidR="001B1CB9" w:rsidRDefault="001B1CB9" w:rsidP="00123106">
      <w:pPr>
        <w:sectPr w:rsidR="001B1CB9" w:rsidSect="008D4C8E">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580" w:right="440" w:bottom="280" w:left="560" w:header="0" w:footer="0" w:gutter="0"/>
          <w:cols w:space="720"/>
        </w:sectPr>
      </w:pPr>
    </w:p>
    <w:p w14:paraId="3119C74D" w14:textId="24537A84" w:rsidR="008747A2" w:rsidRPr="00C82765" w:rsidRDefault="00AD31E9" w:rsidP="00123106">
      <w:pPr>
        <w:pStyle w:val="Heading1"/>
      </w:pPr>
      <w:r w:rsidRPr="00C82765">
        <w:t xml:space="preserve">Management fees </w:t>
      </w:r>
    </w:p>
    <w:p w14:paraId="2B94EDF5" w14:textId="77777777" w:rsidR="00123106" w:rsidRPr="004C3917" w:rsidRDefault="00123106" w:rsidP="00123106">
      <w:pPr>
        <w:pStyle w:val="ListParagraph"/>
      </w:pPr>
      <w:r>
        <w:t xml:space="preserve">$120 per hour (pro </w:t>
      </w:r>
      <w:proofErr w:type="gramStart"/>
      <w:r>
        <w:t>rata</w:t>
      </w:r>
      <w:proofErr w:type="gramEnd"/>
      <w:r>
        <w:t>) will be charged, i</w:t>
      </w:r>
      <w:r w:rsidRPr="00485879">
        <w:t xml:space="preserve">f the Public Trustee is acting as the attorney, </w:t>
      </w:r>
    </w:p>
    <w:p w14:paraId="0B79AA12" w14:textId="77777777" w:rsidR="00123106" w:rsidRPr="00485879" w:rsidRDefault="00123106" w:rsidP="00123106">
      <w:pPr>
        <w:pStyle w:val="ListParagraph"/>
      </w:pPr>
      <w:r>
        <w:t xml:space="preserve">A time sheet is kept, and fees will be charged quarterly. </w:t>
      </w:r>
    </w:p>
    <w:p w14:paraId="5F8B4791" w14:textId="6CD146EA" w:rsidR="00703B75" w:rsidRPr="00C82765" w:rsidRDefault="00703B75" w:rsidP="00123106">
      <w:pPr>
        <w:pStyle w:val="ListParagraph"/>
      </w:pPr>
      <w:r w:rsidRPr="00C82765">
        <w:t>No capital commission will be taken</w:t>
      </w:r>
      <w:r w:rsidR="005E6A7A" w:rsidRPr="00C82765">
        <w:t>.</w:t>
      </w:r>
      <w:r w:rsidRPr="00C82765">
        <w:t xml:space="preserve"> </w:t>
      </w:r>
    </w:p>
    <w:p w14:paraId="21FB536F" w14:textId="57EB12B1" w:rsidR="00703B75" w:rsidRPr="00C82765" w:rsidRDefault="00703B75" w:rsidP="00123106">
      <w:pPr>
        <w:pStyle w:val="ListParagraph"/>
      </w:pPr>
      <w:r w:rsidRPr="00C82765">
        <w:t xml:space="preserve">With tenanted </w:t>
      </w:r>
      <w:proofErr w:type="gramStart"/>
      <w:r w:rsidRPr="00C82765">
        <w:t>realty</w:t>
      </w:r>
      <w:proofErr w:type="gramEnd"/>
      <w:r w:rsidRPr="00C82765">
        <w:t xml:space="preserve"> the income commission covers only the normal collection of rents. Additional work involved </w:t>
      </w:r>
      <w:r w:rsidR="00F30CA0" w:rsidRPr="00C82765">
        <w:t xml:space="preserve">with the tenanted </w:t>
      </w:r>
      <w:proofErr w:type="gramStart"/>
      <w:r w:rsidR="00F30CA0" w:rsidRPr="00C82765">
        <w:t>realty</w:t>
      </w:r>
      <w:proofErr w:type="gramEnd"/>
      <w:r w:rsidR="00F30CA0" w:rsidRPr="00C82765">
        <w:t xml:space="preserve"> will incur a charge based on the hourly rate ($1</w:t>
      </w:r>
      <w:r w:rsidR="00586A40" w:rsidRPr="00C82765">
        <w:t>20</w:t>
      </w:r>
      <w:r w:rsidR="00F30CA0" w:rsidRPr="00C82765">
        <w:t xml:space="preserve"> per hour, pro </w:t>
      </w:r>
      <w:proofErr w:type="gramStart"/>
      <w:r w:rsidR="00F30CA0" w:rsidRPr="00C82765">
        <w:t>rata</w:t>
      </w:r>
      <w:proofErr w:type="gramEnd"/>
      <w:r w:rsidR="00F30CA0" w:rsidRPr="00C82765">
        <w:t xml:space="preserve">). </w:t>
      </w:r>
    </w:p>
    <w:p w14:paraId="18C9DBF4" w14:textId="77777777" w:rsidR="00AD31E9" w:rsidRPr="00703B75" w:rsidRDefault="00AD31E9" w:rsidP="00123106">
      <w:pPr>
        <w:pStyle w:val="BodyText"/>
      </w:pPr>
    </w:p>
    <w:p w14:paraId="74665329" w14:textId="77777777" w:rsidR="0056152F" w:rsidRPr="00485879" w:rsidRDefault="0056152F" w:rsidP="00123106">
      <w:pPr>
        <w:pStyle w:val="Heading1"/>
      </w:pPr>
      <w:r>
        <w:t>Income commission</w:t>
      </w:r>
    </w:p>
    <w:p w14:paraId="14915311" w14:textId="77777777" w:rsidR="0056152F" w:rsidRPr="00C82765" w:rsidRDefault="0056152F" w:rsidP="00123106">
      <w:pPr>
        <w:pStyle w:val="ListParagraph"/>
      </w:pPr>
      <w:r w:rsidRPr="00C82765">
        <w:t xml:space="preserve">6.6% fee is charged on income received, such as interest, dividends, pensions and rental income (where the Public Trustee is managing the property).  </w:t>
      </w:r>
    </w:p>
    <w:p w14:paraId="262C80BA" w14:textId="77777777" w:rsidR="0056152F" w:rsidRDefault="0056152F" w:rsidP="00123106">
      <w:pPr>
        <w:pStyle w:val="ListParagraph"/>
      </w:pPr>
      <w:r>
        <w:t>3.3% fee is charged on rental income where</w:t>
      </w:r>
      <w:r w:rsidRPr="6EBD9E0D">
        <w:rPr>
          <w:rFonts w:ascii="Avenir Next LT Pro" w:hAnsi="Avenir Next LT Pro"/>
          <w:color w:val="231F20"/>
          <w:sz w:val="19"/>
          <w:szCs w:val="19"/>
        </w:rPr>
        <w:t xml:space="preserve"> </w:t>
      </w:r>
      <w:r>
        <w:t>the Public Trustee is not managing the property.</w:t>
      </w:r>
    </w:p>
    <w:p w14:paraId="14533956" w14:textId="77777777" w:rsidR="0056152F" w:rsidRPr="00485879" w:rsidRDefault="0056152F" w:rsidP="00123106"/>
    <w:p w14:paraId="57CB62F2" w14:textId="77777777" w:rsidR="0056152F" w:rsidRPr="003532D1" w:rsidRDefault="0056152F" w:rsidP="00123106">
      <w:pPr>
        <w:pStyle w:val="Heading1"/>
      </w:pPr>
      <w:r w:rsidRPr="003532D1">
        <w:t>Investment management fee</w:t>
      </w:r>
    </w:p>
    <w:p w14:paraId="309FBB6D" w14:textId="77777777" w:rsidR="0056152F" w:rsidRPr="00485879" w:rsidDel="00B536C3" w:rsidRDefault="0056152F" w:rsidP="00123106">
      <w:pPr>
        <w:pStyle w:val="ListParagraph"/>
      </w:pPr>
      <w:r w:rsidRPr="6EBD9E0D">
        <w:t xml:space="preserve">1.1% per annum fee is charged on funds invested in our Common Fund or Group Investment Fund. This fee is deducted from your gross earnings before any distributions are paid to your account. </w:t>
      </w:r>
    </w:p>
    <w:p w14:paraId="4A7870E1" w14:textId="77777777" w:rsidR="0056152F" w:rsidRDefault="0056152F" w:rsidP="00123106">
      <w:pPr>
        <w:pStyle w:val="BodyText"/>
      </w:pPr>
    </w:p>
    <w:p w14:paraId="098F3212" w14:textId="77777777" w:rsidR="0056152F" w:rsidRDefault="0056152F" w:rsidP="00123106">
      <w:pPr>
        <w:pStyle w:val="Heading1"/>
      </w:pPr>
      <w:r>
        <w:t>Other fees that may apply:</w:t>
      </w:r>
    </w:p>
    <w:p w14:paraId="55809735" w14:textId="77777777" w:rsidR="0056152F" w:rsidRPr="00123106" w:rsidRDefault="0056152F" w:rsidP="00123106">
      <w:r w:rsidRPr="00123106">
        <w:t>These fees may apply depending on the situation:</w:t>
      </w:r>
    </w:p>
    <w:p w14:paraId="4135AEB6" w14:textId="77777777" w:rsidR="0056152F" w:rsidRPr="00485879" w:rsidRDefault="0056152F" w:rsidP="00123106">
      <w:pPr>
        <w:pStyle w:val="ListParagraph"/>
      </w:pPr>
      <w:r>
        <w:t>$13.50 account keeping fee (per month)</w:t>
      </w:r>
    </w:p>
    <w:p w14:paraId="437C4985" w14:textId="77777777" w:rsidR="0056152F" w:rsidRPr="00485879" w:rsidRDefault="0056152F" w:rsidP="00123106">
      <w:pPr>
        <w:pStyle w:val="ListParagraph"/>
      </w:pPr>
      <w:r>
        <w:t>$6.00 domestic cheque drawing and $3.20 direct credit</w:t>
      </w:r>
    </w:p>
    <w:p w14:paraId="121D3F26" w14:textId="77777777" w:rsidR="0056152F" w:rsidDel="00C227B8" w:rsidRDefault="0056152F" w:rsidP="00123106">
      <w:pPr>
        <w:pStyle w:val="ListParagraph"/>
      </w:pPr>
      <w:r>
        <w:t>$24.00 international bank transfers and $32.00 international</w:t>
      </w:r>
      <w:r>
        <w:rPr>
          <w:spacing w:val="-8"/>
        </w:rPr>
        <w:t xml:space="preserve"> </w:t>
      </w:r>
      <w:r>
        <w:t>bank</w:t>
      </w:r>
      <w:r>
        <w:rPr>
          <w:spacing w:val="-8"/>
        </w:rPr>
        <w:t xml:space="preserve"> </w:t>
      </w:r>
      <w:r>
        <w:t>drafts,</w:t>
      </w:r>
      <w:r>
        <w:rPr>
          <w:spacing w:val="-9"/>
        </w:rPr>
        <w:t xml:space="preserve"> </w:t>
      </w:r>
      <w:r>
        <w:t>excluding</w:t>
      </w:r>
      <w:r>
        <w:rPr>
          <w:spacing w:val="-9"/>
        </w:rPr>
        <w:t xml:space="preserve"> </w:t>
      </w:r>
      <w:r>
        <w:t>any 3rd party transaction and processing fees.</w:t>
      </w:r>
    </w:p>
    <w:p w14:paraId="070C4164" w14:textId="77777777" w:rsidR="0056152F" w:rsidRPr="00485879" w:rsidRDefault="0056152F" w:rsidP="00123106">
      <w:pPr>
        <w:pStyle w:val="ListParagraph"/>
      </w:pPr>
      <w:r>
        <w:t xml:space="preserve">Fee for preparing an investment review to </w:t>
      </w:r>
      <w:r>
        <w:t>develop an investment strategy for the client portfolio. The fee will depend on the complexity of individual circumstances.</w:t>
      </w:r>
    </w:p>
    <w:p w14:paraId="7C354FB9" w14:textId="77777777" w:rsidR="0056152F" w:rsidRPr="00485879" w:rsidRDefault="0056152F" w:rsidP="00123106">
      <w:pPr>
        <w:pStyle w:val="ListParagraph"/>
      </w:pPr>
      <w:r>
        <w:t>Fee for preparing an income tax return or other taxation services. The fee will depend on the complexity of the matter and may include fees to establish how much the assets cost for capital gains tax purposes.</w:t>
      </w:r>
    </w:p>
    <w:p w14:paraId="24406777" w14:textId="77777777" w:rsidR="0056152F" w:rsidRPr="00E43456" w:rsidRDefault="0056152F" w:rsidP="00123106">
      <w:pPr>
        <w:pStyle w:val="ListParagraph"/>
      </w:pPr>
      <w:r>
        <w:t>Fee for conveyancing or other services involved with selling, buying or transferring property.</w:t>
      </w:r>
    </w:p>
    <w:p w14:paraId="55CE126D" w14:textId="77777777" w:rsidR="0056152F" w:rsidRPr="00485879" w:rsidRDefault="0056152F" w:rsidP="00123106">
      <w:pPr>
        <w:pStyle w:val="ListParagraph"/>
      </w:pPr>
      <w:r>
        <w:t xml:space="preserve">Hourly rates may apply for complex work not covered by the standard fees. </w:t>
      </w:r>
    </w:p>
    <w:p w14:paraId="5DA5C367" w14:textId="77777777" w:rsidR="0056152F" w:rsidRDefault="0056152F" w:rsidP="00123106"/>
    <w:p w14:paraId="3B461E29" w14:textId="77777777" w:rsidR="0056152F" w:rsidRPr="00485879" w:rsidRDefault="0056152F" w:rsidP="00123106">
      <w:pPr>
        <w:pStyle w:val="Heading1"/>
        <w:ind w:left="0"/>
      </w:pPr>
      <w:r>
        <w:t>Legal services</w:t>
      </w:r>
    </w:p>
    <w:p w14:paraId="0BFFD946" w14:textId="77777777" w:rsidR="0056152F" w:rsidRPr="00485879" w:rsidRDefault="0056152F" w:rsidP="00123106">
      <w:r>
        <w:t xml:space="preserve">The Public Trustee can seek outside practitioners to provide legal services. These services will be charged at the firm's market rate. </w:t>
      </w:r>
    </w:p>
    <w:p w14:paraId="713F05C1" w14:textId="77777777" w:rsidR="0056152F" w:rsidRPr="00485879" w:rsidRDefault="0056152F" w:rsidP="00123106"/>
    <w:p w14:paraId="19CCA737" w14:textId="77777777" w:rsidR="0056152F" w:rsidRDefault="0056152F" w:rsidP="00123106">
      <w:pPr>
        <w:rPr>
          <w:i/>
          <w:iCs/>
          <w:spacing w:val="-3"/>
          <w:sz w:val="14"/>
          <w:szCs w:val="14"/>
        </w:rPr>
      </w:pPr>
      <w:r w:rsidRPr="00D267E4">
        <w:t>The cost of legal services from our legal practitioners depends on how difficult the task is. The Public Trustee will not charge more than the maximum hourly attendance rate set out in the Supreme Court Rules 2000. This is currently set between $194.00 and $423.00.</w:t>
      </w:r>
      <w:r w:rsidRPr="6EBD9E0D">
        <w:rPr>
          <w:i/>
          <w:iCs/>
          <w:spacing w:val="-3"/>
          <w:sz w:val="14"/>
          <w:szCs w:val="14"/>
        </w:rPr>
        <w:t xml:space="preserve"> </w:t>
      </w:r>
    </w:p>
    <w:p w14:paraId="5B37A43F" w14:textId="77777777" w:rsidR="0056152F" w:rsidRDefault="0056152F" w:rsidP="00123106"/>
    <w:p w14:paraId="00A4F8BB" w14:textId="77777777" w:rsidR="0056152F" w:rsidRDefault="0056152F" w:rsidP="00123106">
      <w:pPr>
        <w:pStyle w:val="Heading1"/>
        <w:ind w:left="0"/>
      </w:pPr>
      <w:r>
        <w:t xml:space="preserve">More information on Fees and Charges </w:t>
      </w:r>
    </w:p>
    <w:p w14:paraId="53E6CA5D" w14:textId="06CB8C4F" w:rsidR="0056152F" w:rsidRDefault="0056152F" w:rsidP="00123106">
      <w:r>
        <w:t xml:space="preserve">All fees and charges quoted are inclusive of GST and are current at the date of printing. </w:t>
      </w:r>
    </w:p>
    <w:p w14:paraId="57EE46F9" w14:textId="5A0C57CA" w:rsidR="0056152F" w:rsidRDefault="0056152F" w:rsidP="00123106"/>
    <w:p w14:paraId="6B25A70E" w14:textId="354A4DE8" w:rsidR="0056152F" w:rsidRPr="00191A6B" w:rsidRDefault="0056152F" w:rsidP="00123106">
      <w:pPr>
        <w:pStyle w:val="BodyText"/>
        <w:ind w:left="0"/>
      </w:pPr>
      <w:r w:rsidRPr="6EBD9E0D">
        <w:t>To ensure you are aware of the latest fees and charges or find out more about out-of-pocket fees:</w:t>
      </w:r>
    </w:p>
    <w:p w14:paraId="1E86B3CE" w14:textId="4D7903FF" w:rsidR="0056152F" w:rsidRPr="00F35B02" w:rsidRDefault="0056152F" w:rsidP="00123106"/>
    <w:p w14:paraId="30ACB915" w14:textId="63AE091E" w:rsidR="0056152F" w:rsidRPr="00187DEE" w:rsidRDefault="0056152F" w:rsidP="00123106">
      <w:r>
        <w:t>Visit: publictrustee.tas.gov.au/</w:t>
      </w:r>
      <w:proofErr w:type="gramStart"/>
      <w:r>
        <w:t>all-fees-charges</w:t>
      </w:r>
      <w:proofErr w:type="gramEnd"/>
      <w:r>
        <w:t>/</w:t>
      </w:r>
    </w:p>
    <w:p w14:paraId="6D452CE6" w14:textId="53CE1832" w:rsidR="0056152F" w:rsidRDefault="00123106" w:rsidP="00123106">
      <w:r>
        <w:rPr>
          <w:noProof/>
        </w:rPr>
        <w:drawing>
          <wp:anchor distT="0" distB="0" distL="114300" distR="114300" simplePos="0" relativeHeight="251657728" behindDoc="0" locked="0" layoutInCell="1" allowOverlap="1" wp14:anchorId="09C1DE4B" wp14:editId="6B41DBCB">
            <wp:simplePos x="0" y="0"/>
            <wp:positionH relativeFrom="margin">
              <wp:posOffset>6049010</wp:posOffset>
            </wp:positionH>
            <wp:positionV relativeFrom="margin">
              <wp:posOffset>6269355</wp:posOffset>
            </wp:positionV>
            <wp:extent cx="666115" cy="677545"/>
            <wp:effectExtent l="0" t="0" r="635" b="8255"/>
            <wp:wrapSquare wrapText="bothSides"/>
            <wp:docPr id="204120262" name="Picture 1" descr="A qr code with a blue spiral linking to publictrustee.tas.gov.au/all-fees-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0262" name="Picture 1" descr="A qr code with a blue spiral linking to publictrustee.tas.gov.au/all-fees-charges/"/>
                    <pic:cNvPicPr/>
                  </pic:nvPicPr>
                  <pic:blipFill>
                    <a:blip r:embed="rId16"/>
                    <a:stretch>
                      <a:fillRect/>
                    </a:stretch>
                  </pic:blipFill>
                  <pic:spPr>
                    <a:xfrm>
                      <a:off x="0" y="0"/>
                      <a:ext cx="666115" cy="677545"/>
                    </a:xfrm>
                    <a:prstGeom prst="rect">
                      <a:avLst/>
                    </a:prstGeom>
                  </pic:spPr>
                </pic:pic>
              </a:graphicData>
            </a:graphic>
            <wp14:sizeRelH relativeFrom="page">
              <wp14:pctWidth>0</wp14:pctWidth>
            </wp14:sizeRelH>
            <wp14:sizeRelV relativeFrom="page">
              <wp14:pctHeight>0</wp14:pctHeight>
            </wp14:sizeRelV>
          </wp:anchor>
        </w:drawing>
      </w:r>
      <w:r w:rsidR="0056152F">
        <w:t xml:space="preserve">Call: </w:t>
      </w:r>
      <w:r w:rsidR="0056152F" w:rsidRPr="00187DEE">
        <w:t xml:space="preserve">1800 068 784 </w:t>
      </w:r>
    </w:p>
    <w:p w14:paraId="11D85E55" w14:textId="28154A3F" w:rsidR="0056152F" w:rsidRDefault="0056152F" w:rsidP="00123106">
      <w:r>
        <w:t xml:space="preserve">Email:  </w:t>
      </w:r>
      <w:hyperlink r:id="rId17">
        <w:r>
          <w:t>tpt@publictrustee.tas.gov.au</w:t>
        </w:r>
      </w:hyperlink>
      <w:r>
        <w:t xml:space="preserve"> </w:t>
      </w:r>
    </w:p>
    <w:p w14:paraId="34A79036" w14:textId="4965502F" w:rsidR="0056152F" w:rsidRDefault="0056152F" w:rsidP="00123106">
      <w:pPr>
        <w:pStyle w:val="BodyText"/>
      </w:pPr>
    </w:p>
    <w:p w14:paraId="1B543D56" w14:textId="77777777" w:rsidR="0056152F" w:rsidRPr="00F35B02" w:rsidRDefault="0056152F" w:rsidP="00123106">
      <w:pPr>
        <w:pStyle w:val="BodyText"/>
        <w:ind w:left="0"/>
      </w:pPr>
      <w:r>
        <w:t xml:space="preserve">Current </w:t>
      </w:r>
      <w:proofErr w:type="gramStart"/>
      <w:r>
        <w:t>at</w:t>
      </w:r>
      <w:proofErr w:type="gramEnd"/>
      <w:r>
        <w:t xml:space="preserve"> 1 January 2026.</w:t>
      </w:r>
    </w:p>
    <w:p w14:paraId="00068B5B" w14:textId="711CA427" w:rsidR="008747A2" w:rsidRDefault="008747A2" w:rsidP="00123106">
      <w:pPr>
        <w:pStyle w:val="BodyText"/>
      </w:pPr>
    </w:p>
    <w:sectPr w:rsidR="008747A2" w:rsidSect="008D4C8E">
      <w:type w:val="continuous"/>
      <w:pgSz w:w="11910" w:h="16840"/>
      <w:pgMar w:top="2101" w:right="620" w:bottom="280" w:left="580" w:header="11" w:footer="0" w:gutter="0"/>
      <w:cols w:num="2" w:space="720" w:equalWidth="0">
        <w:col w:w="5050" w:space="506"/>
        <w:col w:w="51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6AB6" w14:textId="77777777" w:rsidR="008D4C8E" w:rsidRDefault="008D4C8E" w:rsidP="00123106">
      <w:r>
        <w:separator/>
      </w:r>
    </w:p>
  </w:endnote>
  <w:endnote w:type="continuationSeparator" w:id="0">
    <w:p w14:paraId="2E2A1882" w14:textId="77777777" w:rsidR="008D4C8E" w:rsidRDefault="008D4C8E" w:rsidP="0012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venir Next LT Pro Demi">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250B" w14:textId="77777777" w:rsidR="008D4C8E" w:rsidRDefault="008D4C8E" w:rsidP="00123106">
    <w:pPr>
      <w:pStyle w:val="Footer"/>
    </w:pPr>
    <w:r>
      <w:rPr>
        <w:noProof/>
        <w:lang w:val="en-AU" w:eastAsia="en-AU"/>
      </w:rPr>
      <w:drawing>
        <wp:inline distT="0" distB="0" distL="0" distR="0" wp14:anchorId="28EF571C" wp14:editId="3F1EAD1D">
          <wp:extent cx="7488000" cy="1424887"/>
          <wp:effectExtent l="0" t="0" r="0" b="4445"/>
          <wp:docPr id="1640570264" name="Picture 164057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427_public trustee_footer.jpg"/>
                  <pic:cNvPicPr/>
                </pic:nvPicPr>
                <pic:blipFill>
                  <a:blip r:embed="rId1">
                    <a:extLst>
                      <a:ext uri="{28A0092B-C50C-407E-A947-70E740481C1C}">
                        <a14:useLocalDpi xmlns:a14="http://schemas.microsoft.com/office/drawing/2010/main" val="0"/>
                      </a:ext>
                    </a:extLst>
                  </a:blip>
                  <a:stretch>
                    <a:fillRect/>
                  </a:stretch>
                </pic:blipFill>
                <pic:spPr>
                  <a:xfrm>
                    <a:off x="0" y="0"/>
                    <a:ext cx="7488000" cy="142488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4D34" w14:textId="1D2702B7" w:rsidR="008747A2" w:rsidRPr="008133DF" w:rsidRDefault="005D7ADE" w:rsidP="00123106">
    <w:pPr>
      <w:pStyle w:val="Footer"/>
    </w:pPr>
    <w:r>
      <w:rPr>
        <w:noProof/>
      </w:rPr>
      <w:drawing>
        <wp:inline distT="0" distB="0" distL="0" distR="0" wp14:anchorId="7C9FF288" wp14:editId="29F38AA5">
          <wp:extent cx="6927850" cy="1070668"/>
          <wp:effectExtent l="0" t="0" r="6350" b="0"/>
          <wp:docPr id="114502033" name="Picture 1145020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stretch>
                    <a:fillRect/>
                  </a:stretch>
                </pic:blipFill>
                <pic:spPr>
                  <a:xfrm>
                    <a:off x="0" y="0"/>
                    <a:ext cx="6927850" cy="10706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A94D" w14:textId="77777777" w:rsidR="008133DF" w:rsidRDefault="008133DF" w:rsidP="00123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2D3E" w14:textId="77777777" w:rsidR="008D4C8E" w:rsidRDefault="008D4C8E" w:rsidP="00123106">
      <w:r>
        <w:separator/>
      </w:r>
    </w:p>
  </w:footnote>
  <w:footnote w:type="continuationSeparator" w:id="0">
    <w:p w14:paraId="30FBB34F" w14:textId="77777777" w:rsidR="008D4C8E" w:rsidRDefault="008D4C8E" w:rsidP="0012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E60C" w14:textId="56EACBB3" w:rsidR="008D4C8E" w:rsidRDefault="008D4C8E" w:rsidP="0012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6AEB" w14:textId="4F2E5DE7" w:rsidR="008D4C8E" w:rsidRDefault="00F30CA0" w:rsidP="00123106">
    <w:pPr>
      <w:pStyle w:val="Header"/>
    </w:pPr>
    <w:r>
      <w:rPr>
        <w:noProof/>
        <w:lang w:val="en-AU" w:eastAsia="en-AU"/>
      </w:rPr>
      <w:drawing>
        <wp:inline distT="0" distB="0" distL="0" distR="0" wp14:anchorId="40D5530A" wp14:editId="45AB25C7">
          <wp:extent cx="6927850" cy="1206110"/>
          <wp:effectExtent l="0" t="0" r="6350" b="0"/>
          <wp:docPr id="1765864214" name="Picture 176586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427_public trustee_header.jpg"/>
                  <pic:cNvPicPr/>
                </pic:nvPicPr>
                <pic:blipFill>
                  <a:blip r:embed="rId1">
                    <a:extLst>
                      <a:ext uri="{28A0092B-C50C-407E-A947-70E740481C1C}">
                        <a14:useLocalDpi xmlns:a14="http://schemas.microsoft.com/office/drawing/2010/main" val="0"/>
                      </a:ext>
                    </a:extLst>
                  </a:blip>
                  <a:stretch>
                    <a:fillRect/>
                  </a:stretch>
                </pic:blipFill>
                <pic:spPr>
                  <a:xfrm>
                    <a:off x="0" y="0"/>
                    <a:ext cx="6927850" cy="12061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D604" w14:textId="77777777" w:rsidR="008133DF" w:rsidRDefault="008133DF" w:rsidP="0012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2A0"/>
    <w:multiLevelType w:val="hybridMultilevel"/>
    <w:tmpl w:val="959031E0"/>
    <w:lvl w:ilvl="0" w:tplc="EA2AF152">
      <w:start w:val="1"/>
      <w:numFmt w:val="bullet"/>
      <w:lvlText w:val="–"/>
      <w:lvlJc w:val="left"/>
      <w:pPr>
        <w:ind w:left="347" w:hanging="227"/>
      </w:pPr>
      <w:rPr>
        <w:rFonts w:ascii="Century Gothic" w:eastAsia="Century Gothic" w:hAnsi="Century Gothic" w:cs="Century Gothic" w:hint="default"/>
        <w:color w:val="00AEEF"/>
        <w:spacing w:val="-10"/>
        <w:w w:val="100"/>
        <w:sz w:val="20"/>
        <w:szCs w:val="20"/>
      </w:rPr>
    </w:lvl>
    <w:lvl w:ilvl="1" w:tplc="839C6BCA">
      <w:start w:val="1"/>
      <w:numFmt w:val="bullet"/>
      <w:lvlText w:val="•"/>
      <w:lvlJc w:val="left"/>
      <w:pPr>
        <w:ind w:left="840" w:hanging="227"/>
      </w:pPr>
      <w:rPr>
        <w:rFonts w:hint="default"/>
      </w:rPr>
    </w:lvl>
    <w:lvl w:ilvl="2" w:tplc="9380FBE2">
      <w:start w:val="1"/>
      <w:numFmt w:val="bullet"/>
      <w:lvlText w:val="•"/>
      <w:lvlJc w:val="left"/>
      <w:pPr>
        <w:ind w:left="1341" w:hanging="227"/>
      </w:pPr>
      <w:rPr>
        <w:rFonts w:hint="default"/>
      </w:rPr>
    </w:lvl>
    <w:lvl w:ilvl="3" w:tplc="96A83454">
      <w:start w:val="1"/>
      <w:numFmt w:val="bullet"/>
      <w:lvlText w:val="•"/>
      <w:lvlJc w:val="left"/>
      <w:pPr>
        <w:ind w:left="1842" w:hanging="227"/>
      </w:pPr>
      <w:rPr>
        <w:rFonts w:hint="default"/>
      </w:rPr>
    </w:lvl>
    <w:lvl w:ilvl="4" w:tplc="C678928A">
      <w:start w:val="1"/>
      <w:numFmt w:val="bullet"/>
      <w:lvlText w:val="•"/>
      <w:lvlJc w:val="left"/>
      <w:pPr>
        <w:ind w:left="2343" w:hanging="227"/>
      </w:pPr>
      <w:rPr>
        <w:rFonts w:hint="default"/>
      </w:rPr>
    </w:lvl>
    <w:lvl w:ilvl="5" w:tplc="64CA212A">
      <w:start w:val="1"/>
      <w:numFmt w:val="bullet"/>
      <w:lvlText w:val="•"/>
      <w:lvlJc w:val="left"/>
      <w:pPr>
        <w:ind w:left="2844" w:hanging="227"/>
      </w:pPr>
      <w:rPr>
        <w:rFonts w:hint="default"/>
      </w:rPr>
    </w:lvl>
    <w:lvl w:ilvl="6" w:tplc="B1DE21BE">
      <w:start w:val="1"/>
      <w:numFmt w:val="bullet"/>
      <w:lvlText w:val="•"/>
      <w:lvlJc w:val="left"/>
      <w:pPr>
        <w:ind w:left="3345" w:hanging="227"/>
      </w:pPr>
      <w:rPr>
        <w:rFonts w:hint="default"/>
      </w:rPr>
    </w:lvl>
    <w:lvl w:ilvl="7" w:tplc="E3D627E8">
      <w:start w:val="1"/>
      <w:numFmt w:val="bullet"/>
      <w:lvlText w:val="•"/>
      <w:lvlJc w:val="left"/>
      <w:pPr>
        <w:ind w:left="3846" w:hanging="227"/>
      </w:pPr>
      <w:rPr>
        <w:rFonts w:hint="default"/>
      </w:rPr>
    </w:lvl>
    <w:lvl w:ilvl="8" w:tplc="4FB67A16">
      <w:start w:val="1"/>
      <w:numFmt w:val="bullet"/>
      <w:lvlText w:val="•"/>
      <w:lvlJc w:val="left"/>
      <w:pPr>
        <w:ind w:left="4347" w:hanging="227"/>
      </w:pPr>
      <w:rPr>
        <w:rFonts w:hint="default"/>
      </w:rPr>
    </w:lvl>
  </w:abstractNum>
  <w:abstractNum w:abstractNumId="1" w15:restartNumberingAfterBreak="0">
    <w:nsid w:val="18C90AD8"/>
    <w:multiLevelType w:val="hybridMultilevel"/>
    <w:tmpl w:val="611A91A2"/>
    <w:lvl w:ilvl="0" w:tplc="7C06785C">
      <w:start w:val="1"/>
      <w:numFmt w:val="bullet"/>
      <w:lvlText w:val="–"/>
      <w:lvlJc w:val="left"/>
      <w:pPr>
        <w:ind w:left="327" w:hanging="227"/>
      </w:pPr>
      <w:rPr>
        <w:rFonts w:ascii="Century Gothic" w:eastAsia="Century Gothic" w:hAnsi="Century Gothic" w:cs="Century Gothic" w:hint="default"/>
        <w:color w:val="00AEEF"/>
        <w:spacing w:val="-8"/>
        <w:w w:val="100"/>
        <w:sz w:val="20"/>
        <w:szCs w:val="20"/>
      </w:rPr>
    </w:lvl>
    <w:lvl w:ilvl="1" w:tplc="BC64DAFA">
      <w:start w:val="1"/>
      <w:numFmt w:val="bullet"/>
      <w:lvlText w:val="•"/>
      <w:lvlJc w:val="left"/>
      <w:pPr>
        <w:ind w:left="792" w:hanging="227"/>
      </w:pPr>
      <w:rPr>
        <w:rFonts w:hint="default"/>
      </w:rPr>
    </w:lvl>
    <w:lvl w:ilvl="2" w:tplc="5686A7FC">
      <w:start w:val="1"/>
      <w:numFmt w:val="bullet"/>
      <w:lvlText w:val="•"/>
      <w:lvlJc w:val="left"/>
      <w:pPr>
        <w:ind w:left="1265" w:hanging="227"/>
      </w:pPr>
      <w:rPr>
        <w:rFonts w:hint="default"/>
      </w:rPr>
    </w:lvl>
    <w:lvl w:ilvl="3" w:tplc="0FF6C5A4">
      <w:start w:val="1"/>
      <w:numFmt w:val="bullet"/>
      <w:lvlText w:val="•"/>
      <w:lvlJc w:val="left"/>
      <w:pPr>
        <w:ind w:left="1738" w:hanging="227"/>
      </w:pPr>
      <w:rPr>
        <w:rFonts w:hint="default"/>
      </w:rPr>
    </w:lvl>
    <w:lvl w:ilvl="4" w:tplc="97AC183A">
      <w:start w:val="1"/>
      <w:numFmt w:val="bullet"/>
      <w:lvlText w:val="•"/>
      <w:lvlJc w:val="left"/>
      <w:pPr>
        <w:ind w:left="2211" w:hanging="227"/>
      </w:pPr>
      <w:rPr>
        <w:rFonts w:hint="default"/>
      </w:rPr>
    </w:lvl>
    <w:lvl w:ilvl="5" w:tplc="E72414C2">
      <w:start w:val="1"/>
      <w:numFmt w:val="bullet"/>
      <w:lvlText w:val="•"/>
      <w:lvlJc w:val="left"/>
      <w:pPr>
        <w:ind w:left="2684" w:hanging="227"/>
      </w:pPr>
      <w:rPr>
        <w:rFonts w:hint="default"/>
      </w:rPr>
    </w:lvl>
    <w:lvl w:ilvl="6" w:tplc="D28251AA">
      <w:start w:val="1"/>
      <w:numFmt w:val="bullet"/>
      <w:lvlText w:val="•"/>
      <w:lvlJc w:val="left"/>
      <w:pPr>
        <w:ind w:left="3157" w:hanging="227"/>
      </w:pPr>
      <w:rPr>
        <w:rFonts w:hint="default"/>
      </w:rPr>
    </w:lvl>
    <w:lvl w:ilvl="7" w:tplc="7F8EF0BA">
      <w:start w:val="1"/>
      <w:numFmt w:val="bullet"/>
      <w:lvlText w:val="•"/>
      <w:lvlJc w:val="left"/>
      <w:pPr>
        <w:ind w:left="3630" w:hanging="227"/>
      </w:pPr>
      <w:rPr>
        <w:rFonts w:hint="default"/>
      </w:rPr>
    </w:lvl>
    <w:lvl w:ilvl="8" w:tplc="97400E6E">
      <w:start w:val="1"/>
      <w:numFmt w:val="bullet"/>
      <w:lvlText w:val="•"/>
      <w:lvlJc w:val="left"/>
      <w:pPr>
        <w:ind w:left="4103" w:hanging="227"/>
      </w:pPr>
      <w:rPr>
        <w:rFonts w:hint="default"/>
      </w:rPr>
    </w:lvl>
  </w:abstractNum>
  <w:abstractNum w:abstractNumId="2" w15:restartNumberingAfterBreak="0">
    <w:nsid w:val="1D574510"/>
    <w:multiLevelType w:val="hybridMultilevel"/>
    <w:tmpl w:val="8188B4D8"/>
    <w:lvl w:ilvl="0" w:tplc="5998A760">
      <w:start w:val="1"/>
      <w:numFmt w:val="bullet"/>
      <w:lvlText w:val="–"/>
      <w:lvlJc w:val="left"/>
      <w:pPr>
        <w:ind w:left="347" w:hanging="227"/>
      </w:pPr>
      <w:rPr>
        <w:rFonts w:ascii="Century Gothic" w:eastAsia="Century Gothic" w:hAnsi="Century Gothic" w:cs="Century Gothic" w:hint="default"/>
        <w:color w:val="00AEEF"/>
        <w:spacing w:val="-9"/>
        <w:w w:val="100"/>
        <w:sz w:val="20"/>
        <w:szCs w:val="20"/>
      </w:rPr>
    </w:lvl>
    <w:lvl w:ilvl="1" w:tplc="B25620E0">
      <w:start w:val="1"/>
      <w:numFmt w:val="bullet"/>
      <w:lvlText w:val="•"/>
      <w:lvlJc w:val="left"/>
      <w:pPr>
        <w:ind w:left="815" w:hanging="227"/>
      </w:pPr>
      <w:rPr>
        <w:rFonts w:hint="default"/>
      </w:rPr>
    </w:lvl>
    <w:lvl w:ilvl="2" w:tplc="9F02B8B8">
      <w:start w:val="1"/>
      <w:numFmt w:val="bullet"/>
      <w:lvlText w:val="•"/>
      <w:lvlJc w:val="left"/>
      <w:pPr>
        <w:ind w:left="1291" w:hanging="227"/>
      </w:pPr>
      <w:rPr>
        <w:rFonts w:hint="default"/>
      </w:rPr>
    </w:lvl>
    <w:lvl w:ilvl="3" w:tplc="EFD8F58C">
      <w:start w:val="1"/>
      <w:numFmt w:val="bullet"/>
      <w:lvlText w:val="•"/>
      <w:lvlJc w:val="left"/>
      <w:pPr>
        <w:ind w:left="1766" w:hanging="227"/>
      </w:pPr>
      <w:rPr>
        <w:rFonts w:hint="default"/>
      </w:rPr>
    </w:lvl>
    <w:lvl w:ilvl="4" w:tplc="B5B20E28">
      <w:start w:val="1"/>
      <w:numFmt w:val="bullet"/>
      <w:lvlText w:val="•"/>
      <w:lvlJc w:val="left"/>
      <w:pPr>
        <w:ind w:left="2242" w:hanging="227"/>
      </w:pPr>
      <w:rPr>
        <w:rFonts w:hint="default"/>
      </w:rPr>
    </w:lvl>
    <w:lvl w:ilvl="5" w:tplc="5CCC756A">
      <w:start w:val="1"/>
      <w:numFmt w:val="bullet"/>
      <w:lvlText w:val="•"/>
      <w:lvlJc w:val="left"/>
      <w:pPr>
        <w:ind w:left="2718" w:hanging="227"/>
      </w:pPr>
      <w:rPr>
        <w:rFonts w:hint="default"/>
      </w:rPr>
    </w:lvl>
    <w:lvl w:ilvl="6" w:tplc="EC9A7FF0">
      <w:start w:val="1"/>
      <w:numFmt w:val="bullet"/>
      <w:lvlText w:val="•"/>
      <w:lvlJc w:val="left"/>
      <w:pPr>
        <w:ind w:left="3193" w:hanging="227"/>
      </w:pPr>
      <w:rPr>
        <w:rFonts w:hint="default"/>
      </w:rPr>
    </w:lvl>
    <w:lvl w:ilvl="7" w:tplc="AFFE37D6">
      <w:start w:val="1"/>
      <w:numFmt w:val="bullet"/>
      <w:lvlText w:val="•"/>
      <w:lvlJc w:val="left"/>
      <w:pPr>
        <w:ind w:left="3669" w:hanging="227"/>
      </w:pPr>
      <w:rPr>
        <w:rFonts w:hint="default"/>
      </w:rPr>
    </w:lvl>
    <w:lvl w:ilvl="8" w:tplc="597EB734">
      <w:start w:val="1"/>
      <w:numFmt w:val="bullet"/>
      <w:lvlText w:val="•"/>
      <w:lvlJc w:val="left"/>
      <w:pPr>
        <w:ind w:left="4145" w:hanging="227"/>
      </w:pPr>
      <w:rPr>
        <w:rFonts w:hint="default"/>
      </w:rPr>
    </w:lvl>
  </w:abstractNum>
  <w:abstractNum w:abstractNumId="3" w15:restartNumberingAfterBreak="0">
    <w:nsid w:val="20B20B1A"/>
    <w:multiLevelType w:val="hybridMultilevel"/>
    <w:tmpl w:val="1722C862"/>
    <w:lvl w:ilvl="0" w:tplc="CE422F00">
      <w:start w:val="1"/>
      <w:numFmt w:val="bullet"/>
      <w:lvlText w:val="–"/>
      <w:lvlJc w:val="left"/>
      <w:pPr>
        <w:ind w:left="327" w:hanging="227"/>
      </w:pPr>
      <w:rPr>
        <w:rFonts w:ascii="Century Gothic" w:eastAsia="Century Gothic" w:hAnsi="Century Gothic" w:cs="Century Gothic" w:hint="default"/>
        <w:color w:val="00AEEF"/>
        <w:spacing w:val="-13"/>
        <w:w w:val="100"/>
        <w:sz w:val="18"/>
        <w:szCs w:val="18"/>
      </w:rPr>
    </w:lvl>
    <w:lvl w:ilvl="1" w:tplc="5FF80DF0">
      <w:start w:val="1"/>
      <w:numFmt w:val="bullet"/>
      <w:lvlText w:val="•"/>
      <w:lvlJc w:val="left"/>
      <w:pPr>
        <w:ind w:left="806" w:hanging="227"/>
      </w:pPr>
      <w:rPr>
        <w:rFonts w:hint="default"/>
      </w:rPr>
    </w:lvl>
    <w:lvl w:ilvl="2" w:tplc="05FA9920">
      <w:start w:val="1"/>
      <w:numFmt w:val="bullet"/>
      <w:lvlText w:val="•"/>
      <w:lvlJc w:val="left"/>
      <w:pPr>
        <w:ind w:left="1293" w:hanging="227"/>
      </w:pPr>
      <w:rPr>
        <w:rFonts w:hint="default"/>
      </w:rPr>
    </w:lvl>
    <w:lvl w:ilvl="3" w:tplc="D8FE2484">
      <w:start w:val="1"/>
      <w:numFmt w:val="bullet"/>
      <w:lvlText w:val="•"/>
      <w:lvlJc w:val="left"/>
      <w:pPr>
        <w:ind w:left="1780" w:hanging="227"/>
      </w:pPr>
      <w:rPr>
        <w:rFonts w:hint="default"/>
      </w:rPr>
    </w:lvl>
    <w:lvl w:ilvl="4" w:tplc="4C90BD6A">
      <w:start w:val="1"/>
      <w:numFmt w:val="bullet"/>
      <w:lvlText w:val="•"/>
      <w:lvlJc w:val="left"/>
      <w:pPr>
        <w:ind w:left="2267" w:hanging="227"/>
      </w:pPr>
      <w:rPr>
        <w:rFonts w:hint="default"/>
      </w:rPr>
    </w:lvl>
    <w:lvl w:ilvl="5" w:tplc="423EAD48">
      <w:start w:val="1"/>
      <w:numFmt w:val="bullet"/>
      <w:lvlText w:val="•"/>
      <w:lvlJc w:val="left"/>
      <w:pPr>
        <w:ind w:left="2754" w:hanging="227"/>
      </w:pPr>
      <w:rPr>
        <w:rFonts w:hint="default"/>
      </w:rPr>
    </w:lvl>
    <w:lvl w:ilvl="6" w:tplc="0FC2DAE4">
      <w:start w:val="1"/>
      <w:numFmt w:val="bullet"/>
      <w:lvlText w:val="•"/>
      <w:lvlJc w:val="left"/>
      <w:pPr>
        <w:ind w:left="3241" w:hanging="227"/>
      </w:pPr>
      <w:rPr>
        <w:rFonts w:hint="default"/>
      </w:rPr>
    </w:lvl>
    <w:lvl w:ilvl="7" w:tplc="D54A1DAA">
      <w:start w:val="1"/>
      <w:numFmt w:val="bullet"/>
      <w:lvlText w:val="•"/>
      <w:lvlJc w:val="left"/>
      <w:pPr>
        <w:ind w:left="3728" w:hanging="227"/>
      </w:pPr>
      <w:rPr>
        <w:rFonts w:hint="default"/>
      </w:rPr>
    </w:lvl>
    <w:lvl w:ilvl="8" w:tplc="722202FA">
      <w:start w:val="1"/>
      <w:numFmt w:val="bullet"/>
      <w:lvlText w:val="•"/>
      <w:lvlJc w:val="left"/>
      <w:pPr>
        <w:ind w:left="4215" w:hanging="227"/>
      </w:pPr>
      <w:rPr>
        <w:rFonts w:hint="default"/>
      </w:rPr>
    </w:lvl>
  </w:abstractNum>
  <w:abstractNum w:abstractNumId="4" w15:restartNumberingAfterBreak="0">
    <w:nsid w:val="34FC6052"/>
    <w:multiLevelType w:val="hybridMultilevel"/>
    <w:tmpl w:val="6980ACBE"/>
    <w:lvl w:ilvl="0" w:tplc="95CC1DDC">
      <w:start w:val="1"/>
      <w:numFmt w:val="bullet"/>
      <w:pStyle w:val="ListParagraph"/>
      <w:lvlText w:val="–"/>
      <w:lvlJc w:val="left"/>
      <w:pPr>
        <w:ind w:left="327" w:hanging="227"/>
      </w:pPr>
      <w:rPr>
        <w:rFonts w:ascii="Century Gothic" w:eastAsia="Century Gothic" w:hAnsi="Century Gothic" w:cs="Century Gothic" w:hint="default"/>
        <w:color w:val="00AEEF"/>
        <w:spacing w:val="-13"/>
        <w:w w:val="100"/>
        <w:sz w:val="18"/>
        <w:szCs w:val="18"/>
      </w:rPr>
    </w:lvl>
    <w:lvl w:ilvl="1" w:tplc="C756A97E">
      <w:start w:val="1"/>
      <w:numFmt w:val="bullet"/>
      <w:lvlText w:val="•"/>
      <w:lvlJc w:val="left"/>
      <w:pPr>
        <w:ind w:left="787" w:hanging="227"/>
      </w:pPr>
      <w:rPr>
        <w:rFonts w:hint="default"/>
      </w:rPr>
    </w:lvl>
    <w:lvl w:ilvl="2" w:tplc="C2CC98EC">
      <w:start w:val="1"/>
      <w:numFmt w:val="bullet"/>
      <w:lvlText w:val="•"/>
      <w:lvlJc w:val="left"/>
      <w:pPr>
        <w:ind w:left="1255" w:hanging="227"/>
      </w:pPr>
      <w:rPr>
        <w:rFonts w:hint="default"/>
      </w:rPr>
    </w:lvl>
    <w:lvl w:ilvl="3" w:tplc="18DE6724">
      <w:start w:val="1"/>
      <w:numFmt w:val="bullet"/>
      <w:lvlText w:val="•"/>
      <w:lvlJc w:val="left"/>
      <w:pPr>
        <w:ind w:left="1723" w:hanging="227"/>
      </w:pPr>
      <w:rPr>
        <w:rFonts w:hint="default"/>
      </w:rPr>
    </w:lvl>
    <w:lvl w:ilvl="4" w:tplc="48F4387A">
      <w:start w:val="1"/>
      <w:numFmt w:val="bullet"/>
      <w:lvlText w:val="•"/>
      <w:lvlJc w:val="left"/>
      <w:pPr>
        <w:ind w:left="2190" w:hanging="227"/>
      </w:pPr>
      <w:rPr>
        <w:rFonts w:hint="default"/>
      </w:rPr>
    </w:lvl>
    <w:lvl w:ilvl="5" w:tplc="F2F8A28E">
      <w:start w:val="1"/>
      <w:numFmt w:val="bullet"/>
      <w:lvlText w:val="•"/>
      <w:lvlJc w:val="left"/>
      <w:pPr>
        <w:ind w:left="2658" w:hanging="227"/>
      </w:pPr>
      <w:rPr>
        <w:rFonts w:hint="default"/>
      </w:rPr>
    </w:lvl>
    <w:lvl w:ilvl="6" w:tplc="AB2A1B54">
      <w:start w:val="1"/>
      <w:numFmt w:val="bullet"/>
      <w:lvlText w:val="•"/>
      <w:lvlJc w:val="left"/>
      <w:pPr>
        <w:ind w:left="3126" w:hanging="227"/>
      </w:pPr>
      <w:rPr>
        <w:rFonts w:hint="default"/>
      </w:rPr>
    </w:lvl>
    <w:lvl w:ilvl="7" w:tplc="C89EDCC0">
      <w:start w:val="1"/>
      <w:numFmt w:val="bullet"/>
      <w:lvlText w:val="•"/>
      <w:lvlJc w:val="left"/>
      <w:pPr>
        <w:ind w:left="3593" w:hanging="227"/>
      </w:pPr>
      <w:rPr>
        <w:rFonts w:hint="default"/>
      </w:rPr>
    </w:lvl>
    <w:lvl w:ilvl="8" w:tplc="7218613A">
      <w:start w:val="1"/>
      <w:numFmt w:val="bullet"/>
      <w:lvlText w:val="•"/>
      <w:lvlJc w:val="left"/>
      <w:pPr>
        <w:ind w:left="4061" w:hanging="227"/>
      </w:pPr>
      <w:rPr>
        <w:rFonts w:hint="default"/>
      </w:rPr>
    </w:lvl>
  </w:abstractNum>
  <w:abstractNum w:abstractNumId="5" w15:restartNumberingAfterBreak="0">
    <w:nsid w:val="37CD6EC1"/>
    <w:multiLevelType w:val="multilevel"/>
    <w:tmpl w:val="7C041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90C7A"/>
    <w:multiLevelType w:val="multilevel"/>
    <w:tmpl w:val="A9E4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AE7102"/>
    <w:multiLevelType w:val="multilevel"/>
    <w:tmpl w:val="67C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EB28E5"/>
    <w:multiLevelType w:val="multilevel"/>
    <w:tmpl w:val="127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B0347B"/>
    <w:multiLevelType w:val="hybridMultilevel"/>
    <w:tmpl w:val="1DF0E090"/>
    <w:lvl w:ilvl="0" w:tplc="95543830">
      <w:start w:val="1"/>
      <w:numFmt w:val="bullet"/>
      <w:lvlText w:val="–"/>
      <w:lvlJc w:val="left"/>
      <w:pPr>
        <w:ind w:left="347" w:hanging="227"/>
      </w:pPr>
      <w:rPr>
        <w:rFonts w:ascii="Century Gothic" w:eastAsia="Century Gothic" w:hAnsi="Century Gothic" w:cs="Century Gothic" w:hint="default"/>
        <w:color w:val="00AEEF"/>
        <w:spacing w:val="-9"/>
        <w:w w:val="100"/>
        <w:sz w:val="20"/>
        <w:szCs w:val="20"/>
      </w:rPr>
    </w:lvl>
    <w:lvl w:ilvl="1" w:tplc="07A210D6">
      <w:start w:val="1"/>
      <w:numFmt w:val="bullet"/>
      <w:lvlText w:val="•"/>
      <w:lvlJc w:val="left"/>
      <w:pPr>
        <w:ind w:left="815" w:hanging="227"/>
      </w:pPr>
      <w:rPr>
        <w:rFonts w:hint="default"/>
      </w:rPr>
    </w:lvl>
    <w:lvl w:ilvl="2" w:tplc="2F1A8574">
      <w:start w:val="1"/>
      <w:numFmt w:val="bullet"/>
      <w:lvlText w:val="•"/>
      <w:lvlJc w:val="left"/>
      <w:pPr>
        <w:ind w:left="1291" w:hanging="227"/>
      </w:pPr>
      <w:rPr>
        <w:rFonts w:hint="default"/>
      </w:rPr>
    </w:lvl>
    <w:lvl w:ilvl="3" w:tplc="5BE86DFE">
      <w:start w:val="1"/>
      <w:numFmt w:val="bullet"/>
      <w:lvlText w:val="•"/>
      <w:lvlJc w:val="left"/>
      <w:pPr>
        <w:ind w:left="1766" w:hanging="227"/>
      </w:pPr>
      <w:rPr>
        <w:rFonts w:hint="default"/>
      </w:rPr>
    </w:lvl>
    <w:lvl w:ilvl="4" w:tplc="1C14A4D8">
      <w:start w:val="1"/>
      <w:numFmt w:val="bullet"/>
      <w:lvlText w:val="•"/>
      <w:lvlJc w:val="left"/>
      <w:pPr>
        <w:ind w:left="2242" w:hanging="227"/>
      </w:pPr>
      <w:rPr>
        <w:rFonts w:hint="default"/>
      </w:rPr>
    </w:lvl>
    <w:lvl w:ilvl="5" w:tplc="610EBFA2">
      <w:start w:val="1"/>
      <w:numFmt w:val="bullet"/>
      <w:lvlText w:val="•"/>
      <w:lvlJc w:val="left"/>
      <w:pPr>
        <w:ind w:left="2718" w:hanging="227"/>
      </w:pPr>
      <w:rPr>
        <w:rFonts w:hint="default"/>
      </w:rPr>
    </w:lvl>
    <w:lvl w:ilvl="6" w:tplc="23CCC4D2">
      <w:start w:val="1"/>
      <w:numFmt w:val="bullet"/>
      <w:lvlText w:val="•"/>
      <w:lvlJc w:val="left"/>
      <w:pPr>
        <w:ind w:left="3193" w:hanging="227"/>
      </w:pPr>
      <w:rPr>
        <w:rFonts w:hint="default"/>
      </w:rPr>
    </w:lvl>
    <w:lvl w:ilvl="7" w:tplc="5F5470EA">
      <w:start w:val="1"/>
      <w:numFmt w:val="bullet"/>
      <w:lvlText w:val="•"/>
      <w:lvlJc w:val="left"/>
      <w:pPr>
        <w:ind w:left="3669" w:hanging="227"/>
      </w:pPr>
      <w:rPr>
        <w:rFonts w:hint="default"/>
      </w:rPr>
    </w:lvl>
    <w:lvl w:ilvl="8" w:tplc="26CEFD9E">
      <w:start w:val="1"/>
      <w:numFmt w:val="bullet"/>
      <w:lvlText w:val="•"/>
      <w:lvlJc w:val="left"/>
      <w:pPr>
        <w:ind w:left="4145" w:hanging="227"/>
      </w:pPr>
      <w:rPr>
        <w:rFonts w:hint="default"/>
      </w:rPr>
    </w:lvl>
  </w:abstractNum>
  <w:num w:numId="1" w16cid:durableId="2109815721">
    <w:abstractNumId w:val="1"/>
  </w:num>
  <w:num w:numId="2" w16cid:durableId="818352696">
    <w:abstractNumId w:val="0"/>
  </w:num>
  <w:num w:numId="3" w16cid:durableId="235669662">
    <w:abstractNumId w:val="9"/>
  </w:num>
  <w:num w:numId="4" w16cid:durableId="1162503485">
    <w:abstractNumId w:val="2"/>
  </w:num>
  <w:num w:numId="5" w16cid:durableId="1489634009">
    <w:abstractNumId w:val="5"/>
  </w:num>
  <w:num w:numId="6" w16cid:durableId="2128423330">
    <w:abstractNumId w:val="6"/>
  </w:num>
  <w:num w:numId="7" w16cid:durableId="300506143">
    <w:abstractNumId w:val="8"/>
  </w:num>
  <w:num w:numId="8" w16cid:durableId="910702585">
    <w:abstractNumId w:val="7"/>
  </w:num>
  <w:num w:numId="9" w16cid:durableId="2132705166">
    <w:abstractNumId w:val="3"/>
  </w:num>
  <w:num w:numId="10" w16cid:durableId="737753669">
    <w:abstractNumId w:val="4"/>
  </w:num>
  <w:num w:numId="11" w16cid:durableId="1671907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B9"/>
    <w:rsid w:val="000161EE"/>
    <w:rsid w:val="000C2AE9"/>
    <w:rsid w:val="000C607A"/>
    <w:rsid w:val="000C7C09"/>
    <w:rsid w:val="00115822"/>
    <w:rsid w:val="00123106"/>
    <w:rsid w:val="0012391F"/>
    <w:rsid w:val="0019002C"/>
    <w:rsid w:val="001B1CB9"/>
    <w:rsid w:val="001B53E8"/>
    <w:rsid w:val="00232BB5"/>
    <w:rsid w:val="00315D31"/>
    <w:rsid w:val="00376374"/>
    <w:rsid w:val="003D133F"/>
    <w:rsid w:val="003E4EC7"/>
    <w:rsid w:val="003F20A7"/>
    <w:rsid w:val="00453B93"/>
    <w:rsid w:val="0049142C"/>
    <w:rsid w:val="0056152F"/>
    <w:rsid w:val="00586A40"/>
    <w:rsid w:val="005D7ADE"/>
    <w:rsid w:val="005E6A7A"/>
    <w:rsid w:val="00653DE3"/>
    <w:rsid w:val="00703B75"/>
    <w:rsid w:val="00727F1D"/>
    <w:rsid w:val="0075078A"/>
    <w:rsid w:val="007F1940"/>
    <w:rsid w:val="008133DF"/>
    <w:rsid w:val="00831E78"/>
    <w:rsid w:val="00834616"/>
    <w:rsid w:val="008747A2"/>
    <w:rsid w:val="008B1BD6"/>
    <w:rsid w:val="008D4C8E"/>
    <w:rsid w:val="009A50A2"/>
    <w:rsid w:val="00A9057F"/>
    <w:rsid w:val="00AD31E9"/>
    <w:rsid w:val="00B90714"/>
    <w:rsid w:val="00BB3302"/>
    <w:rsid w:val="00C106DC"/>
    <w:rsid w:val="00C201A9"/>
    <w:rsid w:val="00C82765"/>
    <w:rsid w:val="00D767F6"/>
    <w:rsid w:val="00D856DC"/>
    <w:rsid w:val="00D91953"/>
    <w:rsid w:val="00DA0918"/>
    <w:rsid w:val="00DB5A59"/>
    <w:rsid w:val="00DF4DF9"/>
    <w:rsid w:val="00E36289"/>
    <w:rsid w:val="00E44C32"/>
    <w:rsid w:val="00ED4AE4"/>
    <w:rsid w:val="00F30CA0"/>
    <w:rsid w:val="00F31C9F"/>
    <w:rsid w:val="00F43173"/>
    <w:rsid w:val="00F906AA"/>
    <w:rsid w:val="00FE239B"/>
    <w:rsid w:val="00FF2A0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8E0A8"/>
  <w15:docId w15:val="{DE4B291E-8F13-4C30-BD91-B0A87ED4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3106"/>
    <w:rPr>
      <w:rFonts w:ascii="Century Gothic" w:eastAsia="Century Gothic" w:hAnsi="Century Gothic" w:cs="Century Gothic"/>
      <w:sz w:val="20"/>
      <w:szCs w:val="20"/>
    </w:rPr>
  </w:style>
  <w:style w:type="paragraph" w:styleId="Heading1">
    <w:name w:val="heading 1"/>
    <w:basedOn w:val="Normal"/>
    <w:link w:val="Heading1Char"/>
    <w:uiPriority w:val="1"/>
    <w:qFormat/>
    <w:rsid w:val="00C82765"/>
    <w:pPr>
      <w:spacing w:before="1"/>
      <w:ind w:left="120" w:right="-2"/>
      <w:outlineLvl w:val="0"/>
    </w:pPr>
    <w:rPr>
      <w:color w:val="08BCE5"/>
      <w:sz w:val="26"/>
      <w:szCs w:val="26"/>
    </w:rPr>
  </w:style>
  <w:style w:type="paragraph" w:styleId="Heading2">
    <w:name w:val="heading 2"/>
    <w:basedOn w:val="Normal"/>
    <w:uiPriority w:val="1"/>
    <w:qFormat/>
    <w:pPr>
      <w:spacing w:before="34"/>
      <w:ind w:left="120" w:right="-2"/>
      <w:outlineLvl w:val="1"/>
    </w:pPr>
    <w:rPr>
      <w:b/>
      <w:bCs/>
    </w:rPr>
  </w:style>
  <w:style w:type="paragraph" w:styleId="Heading4">
    <w:name w:val="heading 4"/>
    <w:basedOn w:val="Normal"/>
    <w:next w:val="Normal"/>
    <w:link w:val="Heading4Char"/>
    <w:uiPriority w:val="9"/>
    <w:semiHidden/>
    <w:unhideWhenUsed/>
    <w:qFormat/>
    <w:rsid w:val="004914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4"/>
      <w:ind w:left="347"/>
    </w:pPr>
  </w:style>
  <w:style w:type="paragraph" w:styleId="ListParagraph">
    <w:name w:val="List Paragraph"/>
    <w:basedOn w:val="Normal"/>
    <w:uiPriority w:val="34"/>
    <w:qFormat/>
    <w:rsid w:val="00C82765"/>
    <w:pPr>
      <w:numPr>
        <w:numId w:val="10"/>
      </w:numPr>
      <w:spacing w:before="84" w:line="276" w:lineRule="auto"/>
      <w:ind w:right="329"/>
    </w:pPr>
  </w:style>
  <w:style w:type="paragraph" w:customStyle="1" w:styleId="TableParagraph">
    <w:name w:val="Table Paragraph"/>
    <w:basedOn w:val="Normal"/>
    <w:uiPriority w:val="1"/>
    <w:qFormat/>
    <w:pPr>
      <w:spacing w:before="114"/>
      <w:ind w:left="165"/>
    </w:pPr>
  </w:style>
  <w:style w:type="paragraph" w:styleId="Header">
    <w:name w:val="header"/>
    <w:basedOn w:val="Normal"/>
    <w:link w:val="HeaderChar"/>
    <w:uiPriority w:val="99"/>
    <w:unhideWhenUsed/>
    <w:rsid w:val="008D4C8E"/>
    <w:pPr>
      <w:tabs>
        <w:tab w:val="center" w:pos="4320"/>
        <w:tab w:val="right" w:pos="8640"/>
      </w:tabs>
    </w:pPr>
  </w:style>
  <w:style w:type="character" w:customStyle="1" w:styleId="HeaderChar">
    <w:name w:val="Header Char"/>
    <w:basedOn w:val="DefaultParagraphFont"/>
    <w:link w:val="Header"/>
    <w:uiPriority w:val="99"/>
    <w:rsid w:val="008D4C8E"/>
    <w:rPr>
      <w:rFonts w:ascii="Century Gothic" w:eastAsia="Century Gothic" w:hAnsi="Century Gothic" w:cs="Century Gothic"/>
    </w:rPr>
  </w:style>
  <w:style w:type="paragraph" w:styleId="Footer">
    <w:name w:val="footer"/>
    <w:basedOn w:val="Normal"/>
    <w:link w:val="FooterChar"/>
    <w:uiPriority w:val="99"/>
    <w:unhideWhenUsed/>
    <w:rsid w:val="008D4C8E"/>
    <w:pPr>
      <w:tabs>
        <w:tab w:val="center" w:pos="4320"/>
        <w:tab w:val="right" w:pos="8640"/>
      </w:tabs>
    </w:pPr>
  </w:style>
  <w:style w:type="character" w:customStyle="1" w:styleId="FooterChar">
    <w:name w:val="Footer Char"/>
    <w:basedOn w:val="DefaultParagraphFont"/>
    <w:link w:val="Footer"/>
    <w:uiPriority w:val="99"/>
    <w:rsid w:val="008D4C8E"/>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8D4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C8E"/>
    <w:rPr>
      <w:rFonts w:ascii="Lucida Grande" w:eastAsia="Century Gothic" w:hAnsi="Lucida Grande" w:cs="Lucida Grande"/>
      <w:sz w:val="18"/>
      <w:szCs w:val="18"/>
    </w:rPr>
  </w:style>
  <w:style w:type="character" w:styleId="Strong">
    <w:name w:val="Strong"/>
    <w:basedOn w:val="DefaultParagraphFont"/>
    <w:uiPriority w:val="22"/>
    <w:qFormat/>
    <w:rsid w:val="00F43173"/>
    <w:rPr>
      <w:b/>
      <w:bCs/>
    </w:rPr>
  </w:style>
  <w:style w:type="paragraph" w:styleId="NormalWeb">
    <w:name w:val="Normal (Web)"/>
    <w:basedOn w:val="Normal"/>
    <w:uiPriority w:val="99"/>
    <w:unhideWhenUsed/>
    <w:rsid w:val="00F43173"/>
    <w:pPr>
      <w:widowControl/>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uiPriority w:val="1"/>
    <w:rsid w:val="00F43173"/>
    <w:rPr>
      <w:rFonts w:ascii="Century Gothic" w:eastAsia="Century Gothic" w:hAnsi="Century Gothic" w:cs="Century Gothic"/>
      <w:sz w:val="20"/>
      <w:szCs w:val="20"/>
    </w:rPr>
  </w:style>
  <w:style w:type="character" w:customStyle="1" w:styleId="Heading1Char">
    <w:name w:val="Heading 1 Char"/>
    <w:basedOn w:val="DefaultParagraphFont"/>
    <w:link w:val="Heading1"/>
    <w:uiPriority w:val="1"/>
    <w:rsid w:val="00C82765"/>
    <w:rPr>
      <w:rFonts w:ascii="Century Gothic" w:eastAsia="Century Gothic" w:hAnsi="Century Gothic" w:cs="Century Gothic"/>
      <w:color w:val="08BCE5"/>
      <w:sz w:val="26"/>
      <w:szCs w:val="26"/>
    </w:rPr>
  </w:style>
  <w:style w:type="character" w:customStyle="1" w:styleId="Heading4Char">
    <w:name w:val="Heading 4 Char"/>
    <w:basedOn w:val="DefaultParagraphFont"/>
    <w:link w:val="Heading4"/>
    <w:uiPriority w:val="9"/>
    <w:semiHidden/>
    <w:rsid w:val="0049142C"/>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315D31"/>
    <w:rPr>
      <w:b/>
      <w:bCs/>
      <w:color w:val="08BCE5"/>
      <w:sz w:val="56"/>
      <w:szCs w:val="56"/>
    </w:rPr>
  </w:style>
  <w:style w:type="character" w:customStyle="1" w:styleId="TitleChar">
    <w:name w:val="Title Char"/>
    <w:basedOn w:val="DefaultParagraphFont"/>
    <w:link w:val="Title"/>
    <w:uiPriority w:val="10"/>
    <w:rsid w:val="00315D31"/>
    <w:rPr>
      <w:rFonts w:ascii="Century Gothic" w:eastAsia="Century Gothic" w:hAnsi="Century Gothic" w:cs="Century Gothic"/>
      <w:b/>
      <w:bCs/>
      <w:color w:val="08BCE5"/>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59544">
      <w:bodyDiv w:val="1"/>
      <w:marLeft w:val="0"/>
      <w:marRight w:val="0"/>
      <w:marTop w:val="0"/>
      <w:marBottom w:val="0"/>
      <w:divBdr>
        <w:top w:val="none" w:sz="0" w:space="0" w:color="auto"/>
        <w:left w:val="none" w:sz="0" w:space="0" w:color="auto"/>
        <w:bottom w:val="none" w:sz="0" w:space="0" w:color="auto"/>
        <w:right w:val="none" w:sz="0" w:space="0" w:color="auto"/>
      </w:divBdr>
      <w:divsChild>
        <w:div w:id="403842471">
          <w:marLeft w:val="0"/>
          <w:marRight w:val="0"/>
          <w:marTop w:val="0"/>
          <w:marBottom w:val="0"/>
          <w:divBdr>
            <w:top w:val="none" w:sz="0" w:space="0" w:color="auto"/>
            <w:left w:val="none" w:sz="0" w:space="0" w:color="auto"/>
            <w:bottom w:val="none" w:sz="0" w:space="0" w:color="auto"/>
            <w:right w:val="none" w:sz="0" w:space="0" w:color="auto"/>
          </w:divBdr>
          <w:divsChild>
            <w:div w:id="1167818318">
              <w:marLeft w:val="0"/>
              <w:marRight w:val="0"/>
              <w:marTop w:val="0"/>
              <w:marBottom w:val="0"/>
              <w:divBdr>
                <w:top w:val="none" w:sz="0" w:space="0" w:color="auto"/>
                <w:left w:val="none" w:sz="0" w:space="0" w:color="auto"/>
                <w:bottom w:val="none" w:sz="0" w:space="0" w:color="auto"/>
                <w:right w:val="none" w:sz="0" w:space="0" w:color="auto"/>
              </w:divBdr>
              <w:divsChild>
                <w:div w:id="179903909">
                  <w:marLeft w:val="0"/>
                  <w:marRight w:val="0"/>
                  <w:marTop w:val="0"/>
                  <w:marBottom w:val="0"/>
                  <w:divBdr>
                    <w:top w:val="none" w:sz="0" w:space="0" w:color="auto"/>
                    <w:left w:val="none" w:sz="0" w:space="0" w:color="auto"/>
                    <w:bottom w:val="none" w:sz="0" w:space="0" w:color="auto"/>
                    <w:right w:val="none" w:sz="0" w:space="0" w:color="auto"/>
                  </w:divBdr>
                  <w:divsChild>
                    <w:div w:id="82338776">
                      <w:marLeft w:val="0"/>
                      <w:marRight w:val="0"/>
                      <w:marTop w:val="0"/>
                      <w:marBottom w:val="0"/>
                      <w:divBdr>
                        <w:top w:val="none" w:sz="0" w:space="0" w:color="auto"/>
                        <w:left w:val="none" w:sz="0" w:space="0" w:color="auto"/>
                        <w:bottom w:val="none" w:sz="0" w:space="0" w:color="auto"/>
                        <w:right w:val="none" w:sz="0" w:space="0" w:color="auto"/>
                      </w:divBdr>
                      <w:divsChild>
                        <w:div w:id="663246564">
                          <w:marLeft w:val="0"/>
                          <w:marRight w:val="0"/>
                          <w:marTop w:val="0"/>
                          <w:marBottom w:val="0"/>
                          <w:divBdr>
                            <w:top w:val="none" w:sz="0" w:space="0" w:color="auto"/>
                            <w:left w:val="none" w:sz="0" w:space="0" w:color="auto"/>
                            <w:bottom w:val="none" w:sz="0" w:space="0" w:color="auto"/>
                            <w:right w:val="none" w:sz="0" w:space="0" w:color="auto"/>
                          </w:divBdr>
                          <w:divsChild>
                            <w:div w:id="17737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7919">
      <w:bodyDiv w:val="1"/>
      <w:marLeft w:val="0"/>
      <w:marRight w:val="0"/>
      <w:marTop w:val="0"/>
      <w:marBottom w:val="0"/>
      <w:divBdr>
        <w:top w:val="none" w:sz="0" w:space="0" w:color="auto"/>
        <w:left w:val="none" w:sz="0" w:space="0" w:color="auto"/>
        <w:bottom w:val="none" w:sz="0" w:space="0" w:color="auto"/>
        <w:right w:val="none" w:sz="0" w:space="0" w:color="auto"/>
      </w:divBdr>
      <w:divsChild>
        <w:div w:id="465245013">
          <w:marLeft w:val="0"/>
          <w:marRight w:val="0"/>
          <w:marTop w:val="0"/>
          <w:marBottom w:val="0"/>
          <w:divBdr>
            <w:top w:val="none" w:sz="0" w:space="0" w:color="auto"/>
            <w:left w:val="none" w:sz="0" w:space="0" w:color="auto"/>
            <w:bottom w:val="none" w:sz="0" w:space="0" w:color="auto"/>
            <w:right w:val="none" w:sz="0" w:space="0" w:color="auto"/>
          </w:divBdr>
          <w:divsChild>
            <w:div w:id="1490974619">
              <w:marLeft w:val="0"/>
              <w:marRight w:val="0"/>
              <w:marTop w:val="0"/>
              <w:marBottom w:val="0"/>
              <w:divBdr>
                <w:top w:val="none" w:sz="0" w:space="0" w:color="auto"/>
                <w:left w:val="none" w:sz="0" w:space="0" w:color="auto"/>
                <w:bottom w:val="none" w:sz="0" w:space="0" w:color="auto"/>
                <w:right w:val="none" w:sz="0" w:space="0" w:color="auto"/>
              </w:divBdr>
              <w:divsChild>
                <w:div w:id="411850430">
                  <w:marLeft w:val="0"/>
                  <w:marRight w:val="0"/>
                  <w:marTop w:val="0"/>
                  <w:marBottom w:val="0"/>
                  <w:divBdr>
                    <w:top w:val="none" w:sz="0" w:space="0" w:color="auto"/>
                    <w:left w:val="none" w:sz="0" w:space="0" w:color="auto"/>
                    <w:bottom w:val="none" w:sz="0" w:space="0" w:color="auto"/>
                    <w:right w:val="none" w:sz="0" w:space="0" w:color="auto"/>
                  </w:divBdr>
                  <w:divsChild>
                    <w:div w:id="1089617685">
                      <w:marLeft w:val="0"/>
                      <w:marRight w:val="0"/>
                      <w:marTop w:val="0"/>
                      <w:marBottom w:val="0"/>
                      <w:divBdr>
                        <w:top w:val="none" w:sz="0" w:space="0" w:color="auto"/>
                        <w:left w:val="none" w:sz="0" w:space="0" w:color="auto"/>
                        <w:bottom w:val="none" w:sz="0" w:space="0" w:color="auto"/>
                        <w:right w:val="none" w:sz="0" w:space="0" w:color="auto"/>
                      </w:divBdr>
                      <w:divsChild>
                        <w:div w:id="285086726">
                          <w:marLeft w:val="0"/>
                          <w:marRight w:val="0"/>
                          <w:marTop w:val="0"/>
                          <w:marBottom w:val="0"/>
                          <w:divBdr>
                            <w:top w:val="none" w:sz="0" w:space="0" w:color="auto"/>
                            <w:left w:val="none" w:sz="0" w:space="0" w:color="auto"/>
                            <w:bottom w:val="none" w:sz="0" w:space="0" w:color="auto"/>
                            <w:right w:val="none" w:sz="0" w:space="0" w:color="auto"/>
                          </w:divBdr>
                          <w:divsChild>
                            <w:div w:id="6681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79816">
      <w:bodyDiv w:val="1"/>
      <w:marLeft w:val="0"/>
      <w:marRight w:val="0"/>
      <w:marTop w:val="0"/>
      <w:marBottom w:val="0"/>
      <w:divBdr>
        <w:top w:val="none" w:sz="0" w:space="0" w:color="auto"/>
        <w:left w:val="none" w:sz="0" w:space="0" w:color="auto"/>
        <w:bottom w:val="none" w:sz="0" w:space="0" w:color="auto"/>
        <w:right w:val="none" w:sz="0" w:space="0" w:color="auto"/>
      </w:divBdr>
      <w:divsChild>
        <w:div w:id="28845875">
          <w:marLeft w:val="0"/>
          <w:marRight w:val="0"/>
          <w:marTop w:val="0"/>
          <w:marBottom w:val="0"/>
          <w:divBdr>
            <w:top w:val="none" w:sz="0" w:space="0" w:color="auto"/>
            <w:left w:val="none" w:sz="0" w:space="0" w:color="auto"/>
            <w:bottom w:val="none" w:sz="0" w:space="0" w:color="auto"/>
            <w:right w:val="none" w:sz="0" w:space="0" w:color="auto"/>
          </w:divBdr>
          <w:divsChild>
            <w:div w:id="2087796070">
              <w:marLeft w:val="0"/>
              <w:marRight w:val="0"/>
              <w:marTop w:val="0"/>
              <w:marBottom w:val="0"/>
              <w:divBdr>
                <w:top w:val="none" w:sz="0" w:space="0" w:color="auto"/>
                <w:left w:val="none" w:sz="0" w:space="0" w:color="auto"/>
                <w:bottom w:val="none" w:sz="0" w:space="0" w:color="auto"/>
                <w:right w:val="none" w:sz="0" w:space="0" w:color="auto"/>
              </w:divBdr>
              <w:divsChild>
                <w:div w:id="1215312989">
                  <w:marLeft w:val="0"/>
                  <w:marRight w:val="0"/>
                  <w:marTop w:val="0"/>
                  <w:marBottom w:val="0"/>
                  <w:divBdr>
                    <w:top w:val="none" w:sz="0" w:space="0" w:color="auto"/>
                    <w:left w:val="none" w:sz="0" w:space="0" w:color="auto"/>
                    <w:bottom w:val="none" w:sz="0" w:space="0" w:color="auto"/>
                    <w:right w:val="none" w:sz="0" w:space="0" w:color="auto"/>
                  </w:divBdr>
                  <w:divsChild>
                    <w:div w:id="311641155">
                      <w:marLeft w:val="0"/>
                      <w:marRight w:val="0"/>
                      <w:marTop w:val="0"/>
                      <w:marBottom w:val="0"/>
                      <w:divBdr>
                        <w:top w:val="none" w:sz="0" w:space="0" w:color="auto"/>
                        <w:left w:val="none" w:sz="0" w:space="0" w:color="auto"/>
                        <w:bottom w:val="none" w:sz="0" w:space="0" w:color="auto"/>
                        <w:right w:val="none" w:sz="0" w:space="0" w:color="auto"/>
                      </w:divBdr>
                      <w:divsChild>
                        <w:div w:id="587545818">
                          <w:marLeft w:val="0"/>
                          <w:marRight w:val="0"/>
                          <w:marTop w:val="0"/>
                          <w:marBottom w:val="0"/>
                          <w:divBdr>
                            <w:top w:val="none" w:sz="0" w:space="0" w:color="auto"/>
                            <w:left w:val="none" w:sz="0" w:space="0" w:color="auto"/>
                            <w:bottom w:val="none" w:sz="0" w:space="0" w:color="auto"/>
                            <w:right w:val="none" w:sz="0" w:space="0" w:color="auto"/>
                          </w:divBdr>
                          <w:divsChild>
                            <w:div w:id="14197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05200">
      <w:bodyDiv w:val="1"/>
      <w:marLeft w:val="0"/>
      <w:marRight w:val="0"/>
      <w:marTop w:val="0"/>
      <w:marBottom w:val="0"/>
      <w:divBdr>
        <w:top w:val="none" w:sz="0" w:space="0" w:color="auto"/>
        <w:left w:val="none" w:sz="0" w:space="0" w:color="auto"/>
        <w:bottom w:val="none" w:sz="0" w:space="0" w:color="auto"/>
        <w:right w:val="none" w:sz="0" w:space="0" w:color="auto"/>
      </w:divBdr>
      <w:divsChild>
        <w:div w:id="49112771">
          <w:marLeft w:val="0"/>
          <w:marRight w:val="0"/>
          <w:marTop w:val="0"/>
          <w:marBottom w:val="0"/>
          <w:divBdr>
            <w:top w:val="none" w:sz="0" w:space="0" w:color="auto"/>
            <w:left w:val="none" w:sz="0" w:space="0" w:color="auto"/>
            <w:bottom w:val="none" w:sz="0" w:space="0" w:color="auto"/>
            <w:right w:val="none" w:sz="0" w:space="0" w:color="auto"/>
          </w:divBdr>
          <w:divsChild>
            <w:div w:id="1661810628">
              <w:marLeft w:val="0"/>
              <w:marRight w:val="0"/>
              <w:marTop w:val="0"/>
              <w:marBottom w:val="0"/>
              <w:divBdr>
                <w:top w:val="none" w:sz="0" w:space="0" w:color="auto"/>
                <w:left w:val="none" w:sz="0" w:space="0" w:color="auto"/>
                <w:bottom w:val="none" w:sz="0" w:space="0" w:color="auto"/>
                <w:right w:val="none" w:sz="0" w:space="0" w:color="auto"/>
              </w:divBdr>
              <w:divsChild>
                <w:div w:id="183983450">
                  <w:marLeft w:val="0"/>
                  <w:marRight w:val="0"/>
                  <w:marTop w:val="0"/>
                  <w:marBottom w:val="0"/>
                  <w:divBdr>
                    <w:top w:val="none" w:sz="0" w:space="0" w:color="auto"/>
                    <w:left w:val="none" w:sz="0" w:space="0" w:color="auto"/>
                    <w:bottom w:val="none" w:sz="0" w:space="0" w:color="auto"/>
                    <w:right w:val="none" w:sz="0" w:space="0" w:color="auto"/>
                  </w:divBdr>
                  <w:divsChild>
                    <w:div w:id="391538292">
                      <w:marLeft w:val="0"/>
                      <w:marRight w:val="0"/>
                      <w:marTop w:val="0"/>
                      <w:marBottom w:val="0"/>
                      <w:divBdr>
                        <w:top w:val="none" w:sz="0" w:space="0" w:color="auto"/>
                        <w:left w:val="none" w:sz="0" w:space="0" w:color="auto"/>
                        <w:bottom w:val="none" w:sz="0" w:space="0" w:color="auto"/>
                        <w:right w:val="none" w:sz="0" w:space="0" w:color="auto"/>
                      </w:divBdr>
                      <w:divsChild>
                        <w:div w:id="914511248">
                          <w:marLeft w:val="0"/>
                          <w:marRight w:val="0"/>
                          <w:marTop w:val="0"/>
                          <w:marBottom w:val="0"/>
                          <w:divBdr>
                            <w:top w:val="none" w:sz="0" w:space="0" w:color="auto"/>
                            <w:left w:val="none" w:sz="0" w:space="0" w:color="auto"/>
                            <w:bottom w:val="none" w:sz="0" w:space="0" w:color="auto"/>
                            <w:right w:val="none" w:sz="0" w:space="0" w:color="auto"/>
                          </w:divBdr>
                          <w:divsChild>
                            <w:div w:id="16770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tpt@publictrustee.tas.gov.au" TargetMode="Externa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venir - Public Trustee">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4e3209-d273-4f42-8aa1-0c2e36a35342">
      <Terms xmlns="http://schemas.microsoft.com/office/infopath/2007/PartnerControls"/>
    </lcf76f155ced4ddcb4097134ff3c332f>
    <TaxCatchAll xmlns="dfd6265f-a3fc-4c6f-8c61-efd7eef34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37A1839356A4F838876748AE60FD1" ma:contentTypeVersion="13" ma:contentTypeDescription="Create a new document." ma:contentTypeScope="" ma:versionID="a2cc4f260ee62ae9102834aaea288161">
  <xsd:schema xmlns:xsd="http://www.w3.org/2001/XMLSchema" xmlns:xs="http://www.w3.org/2001/XMLSchema" xmlns:p="http://schemas.microsoft.com/office/2006/metadata/properties" xmlns:ns2="4c4e3209-d273-4f42-8aa1-0c2e36a35342" xmlns:ns3="dfd6265f-a3fc-4c6f-8c61-efd7eef341c2" targetNamespace="http://schemas.microsoft.com/office/2006/metadata/properties" ma:root="true" ma:fieldsID="8c746efccf9b84679eb7fea3aabb25e9" ns2:_="" ns3:_="">
    <xsd:import namespace="4c4e3209-d273-4f42-8aa1-0c2e36a35342"/>
    <xsd:import namespace="dfd6265f-a3fc-4c6f-8c61-efd7eef34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e3209-d273-4f42-8aa1-0c2e36a35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84e838-4337-40d7-8614-cb222593b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6265f-a3fc-4c6f-8c61-efd7eef34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84b3c-aef4-4412-9d1c-af3ed80fc677}" ma:internalName="TaxCatchAll" ma:showField="CatchAllData" ma:web="dfd6265f-a3fc-4c6f-8c61-efd7eef34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C7330-D49A-420C-9AB6-E98E98DB6CEB}">
  <ds:schemaRefs>
    <ds:schemaRef ds:uri="http://schemas.microsoft.com/office/2006/metadata/properties"/>
    <ds:schemaRef ds:uri="http://schemas.microsoft.com/office/infopath/2007/PartnerControls"/>
    <ds:schemaRef ds:uri="4c4e3209-d273-4f42-8aa1-0c2e36a35342"/>
    <ds:schemaRef ds:uri="dfd6265f-a3fc-4c6f-8c61-efd7eef341c2"/>
  </ds:schemaRefs>
</ds:datastoreItem>
</file>

<file path=customXml/itemProps2.xml><?xml version="1.0" encoding="utf-8"?>
<ds:datastoreItem xmlns:ds="http://schemas.openxmlformats.org/officeDocument/2006/customXml" ds:itemID="{5744023C-E4DF-4FD3-B700-562061819C30}">
  <ds:schemaRefs>
    <ds:schemaRef ds:uri="http://schemas.microsoft.com/sharepoint/v3/contenttype/forms"/>
  </ds:schemaRefs>
</ds:datastoreItem>
</file>

<file path=customXml/itemProps3.xml><?xml version="1.0" encoding="utf-8"?>
<ds:datastoreItem xmlns:ds="http://schemas.openxmlformats.org/officeDocument/2006/customXml" ds:itemID="{E0AF9C96-39DC-4F89-AA4C-A38EA420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e3209-d273-4f42-8aa1-0c2e36a35342"/>
    <ds:schemaRef ds:uri="dfd6265f-a3fc-4c6f-8c61-efd7eef34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2261</Characters>
  <Application>Microsoft Office Word</Application>
  <DocSecurity>0</DocSecurity>
  <Lines>150</Lines>
  <Paragraphs>85</Paragraphs>
  <ScaleCrop>false</ScaleCrop>
  <HeadingPairs>
    <vt:vector size="2" baseType="variant">
      <vt:variant>
        <vt:lpstr>Title</vt:lpstr>
      </vt:variant>
      <vt:variant>
        <vt:i4>1</vt:i4>
      </vt:variant>
    </vt:vector>
  </HeadingPairs>
  <TitlesOfParts>
    <vt:vector size="1" baseType="lpstr">
      <vt:lpstr/>
    </vt:vector>
  </TitlesOfParts>
  <Company>at+m integrated marketing</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Tierney</dc:creator>
  <cp:lastModifiedBy>Maria Tierney Kaimatsoglu</cp:lastModifiedBy>
  <cp:revision>2</cp:revision>
  <cp:lastPrinted>2025-12-23T23:44:00Z</cp:lastPrinted>
  <dcterms:created xsi:type="dcterms:W3CDTF">2025-12-23T23:54:00Z</dcterms:created>
  <dcterms:modified xsi:type="dcterms:W3CDTF">2025-12-23T23:54:00Z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Adobe InDesign CC 2015 (Macintosh)</vt:lpwstr>
  </property>
  <property fmtid="{D5CDD505-2E9C-101B-9397-08002B2CF9AE}" pid="4" name="LastSaved">
    <vt:filetime>2016-07-27T00:00:00Z</vt:filetime>
  </property>
  <property fmtid="{D5CDD505-2E9C-101B-9397-08002B2CF9AE}" pid="5" name="GrammarlyDocumentId">
    <vt:lpwstr>f32a09d4f978fdba279daf76ac4ce52abcf88426092c3d0637320554dc25514e</vt:lpwstr>
  </property>
  <property fmtid="{D5CDD505-2E9C-101B-9397-08002B2CF9AE}" pid="6" name="ContentTypeId">
    <vt:lpwstr>0x01010041837A1839356A4F838876748AE60FD1</vt:lpwstr>
  </property>
</Properties>
</file>