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63D19" w14:textId="77777777" w:rsidR="008E0A5A" w:rsidRDefault="00F175A9">
      <w:pPr>
        <w:spacing w:before="133"/>
        <w:ind w:left="120"/>
        <w:rPr>
          <w:b/>
          <w:color w:val="08BCE5"/>
          <w:sz w:val="56"/>
        </w:rPr>
      </w:pPr>
      <w:r>
        <w:rPr>
          <w:b/>
          <w:color w:val="08BCE5"/>
          <w:sz w:val="56"/>
        </w:rPr>
        <w:t>Fees and Charges</w:t>
      </w:r>
    </w:p>
    <w:p w14:paraId="7FE9124F" w14:textId="77777777" w:rsidR="00D25B6B" w:rsidRDefault="00D25B6B" w:rsidP="00D25B6B"/>
    <w:tbl>
      <w:tblPr>
        <w:tblStyle w:val="TableGrid"/>
        <w:tblW w:w="0" w:type="auto"/>
        <w:tblLook w:val="04A0" w:firstRow="1" w:lastRow="0" w:firstColumn="1" w:lastColumn="0" w:noHBand="0" w:noVBand="1"/>
      </w:tblPr>
      <w:tblGrid>
        <w:gridCol w:w="5807"/>
        <w:gridCol w:w="2410"/>
        <w:gridCol w:w="2683"/>
      </w:tblGrid>
      <w:tr w:rsidR="00D25B6B" w14:paraId="6649FE6C" w14:textId="77777777" w:rsidTr="00D25B6B">
        <w:trPr>
          <w:trHeight w:val="583"/>
        </w:trPr>
        <w:tc>
          <w:tcPr>
            <w:tcW w:w="5807" w:type="dxa"/>
            <w:tcBorders>
              <w:top w:val="nil"/>
              <w:left w:val="nil"/>
              <w:bottom w:val="nil"/>
              <w:right w:val="nil"/>
            </w:tcBorders>
            <w:vAlign w:val="center"/>
          </w:tcPr>
          <w:p w14:paraId="677E7961" w14:textId="27065B35" w:rsidR="00D25B6B" w:rsidRDefault="00D25B6B" w:rsidP="00D25B6B">
            <w:r>
              <w:rPr>
                <w:color w:val="08BCE5"/>
                <w:sz w:val="26"/>
                <w:szCs w:val="26"/>
              </w:rPr>
              <w:t>Estate Planning</w:t>
            </w:r>
            <w:r w:rsidRPr="00450285">
              <w:rPr>
                <w:color w:val="08BCE5"/>
                <w:sz w:val="26"/>
                <w:szCs w:val="26"/>
              </w:rPr>
              <w:t xml:space="preserve"> Preparation fees</w:t>
            </w:r>
            <w:r>
              <w:rPr>
                <w:color w:val="08BCE5"/>
                <w:sz w:val="26"/>
                <w:szCs w:val="26"/>
              </w:rPr>
              <w:t xml:space="preserve"> </w:t>
            </w:r>
            <w:r w:rsidRPr="00450285">
              <w:rPr>
                <w:bCs/>
                <w:color w:val="08BCE5"/>
                <w:sz w:val="18"/>
                <w:szCs w:val="26"/>
              </w:rPr>
              <w:t>(incl. GST)</w:t>
            </w:r>
          </w:p>
        </w:tc>
        <w:tc>
          <w:tcPr>
            <w:tcW w:w="2410" w:type="dxa"/>
            <w:tcBorders>
              <w:top w:val="nil"/>
              <w:left w:val="nil"/>
              <w:bottom w:val="nil"/>
              <w:right w:val="nil"/>
            </w:tcBorders>
            <w:vAlign w:val="center"/>
          </w:tcPr>
          <w:p w14:paraId="7A0365F0" w14:textId="39E5D539" w:rsidR="00D25B6B" w:rsidRDefault="00D25B6B" w:rsidP="00D25B6B">
            <w:pPr>
              <w:jc w:val="center"/>
            </w:pPr>
            <w:r w:rsidRPr="00450285">
              <w:rPr>
                <w:color w:val="08BCE5"/>
                <w:sz w:val="26"/>
                <w:szCs w:val="26"/>
              </w:rPr>
              <w:t>Single Person</w:t>
            </w:r>
          </w:p>
        </w:tc>
        <w:tc>
          <w:tcPr>
            <w:tcW w:w="2683" w:type="dxa"/>
            <w:tcBorders>
              <w:top w:val="nil"/>
              <w:left w:val="nil"/>
              <w:bottom w:val="nil"/>
              <w:right w:val="nil"/>
            </w:tcBorders>
            <w:vAlign w:val="center"/>
          </w:tcPr>
          <w:p w14:paraId="6F6A9102" w14:textId="4131C4CC" w:rsidR="00D25B6B" w:rsidRDefault="00D25B6B" w:rsidP="00D25B6B">
            <w:pPr>
              <w:jc w:val="center"/>
            </w:pPr>
            <w:r w:rsidRPr="00450285">
              <w:rPr>
                <w:color w:val="08BCE5"/>
                <w:sz w:val="26"/>
                <w:szCs w:val="26"/>
              </w:rPr>
              <w:t>Couple</w:t>
            </w:r>
          </w:p>
        </w:tc>
      </w:tr>
      <w:tr w:rsidR="00D25B6B" w14:paraId="7C06E657" w14:textId="77777777" w:rsidTr="00D25B6B">
        <w:trPr>
          <w:trHeight w:val="852"/>
        </w:trPr>
        <w:tc>
          <w:tcPr>
            <w:tcW w:w="5807" w:type="dxa"/>
            <w:tcBorders>
              <w:top w:val="nil"/>
              <w:left w:val="single" w:sz="4" w:space="0" w:color="FFFFFF" w:themeColor="background1"/>
              <w:bottom w:val="nil"/>
              <w:right w:val="single" w:sz="4" w:space="0" w:color="FFFFFF" w:themeColor="background1"/>
            </w:tcBorders>
            <w:shd w:val="clear" w:color="auto" w:fill="A0D9F0"/>
            <w:vAlign w:val="center"/>
          </w:tcPr>
          <w:p w14:paraId="2D579ED3" w14:textId="77777777" w:rsidR="00D25B6B" w:rsidRPr="0066520C" w:rsidRDefault="00D25B6B" w:rsidP="00D25B6B">
            <w:pPr>
              <w:pStyle w:val="TableParagraph"/>
              <w:spacing w:before="40" w:line="24" w:lineRule="atLeast"/>
              <w:ind w:left="0"/>
              <w:jc w:val="center"/>
              <w:rPr>
                <w:b/>
                <w:color w:val="231F20"/>
                <w:sz w:val="24"/>
              </w:rPr>
            </w:pPr>
            <w:r w:rsidRPr="0066520C">
              <w:rPr>
                <w:b/>
                <w:color w:val="231F20"/>
                <w:sz w:val="24"/>
              </w:rPr>
              <w:t>Will preparation</w:t>
            </w:r>
          </w:p>
          <w:p w14:paraId="3FB26973" w14:textId="1574E0E4" w:rsidR="00D25B6B" w:rsidRDefault="00D25B6B" w:rsidP="00D25B6B">
            <w:pPr>
              <w:spacing w:line="24" w:lineRule="atLeast"/>
              <w:jc w:val="center"/>
            </w:pPr>
            <w:r>
              <w:rPr>
                <w:color w:val="231F20"/>
                <w:spacing w:val="-4"/>
                <w:sz w:val="18"/>
              </w:rPr>
              <w:t>(</w:t>
            </w:r>
            <w:r w:rsidRPr="0066520C">
              <w:rPr>
                <w:color w:val="231F20"/>
                <w:spacing w:val="-4"/>
                <w:sz w:val="18"/>
              </w:rPr>
              <w:t>Appointment Includes preparing an enduring power of attorney</w:t>
            </w:r>
            <w:r>
              <w:rPr>
                <w:color w:val="231F20"/>
                <w:spacing w:val="-4"/>
                <w:sz w:val="18"/>
              </w:rPr>
              <w:t>)</w:t>
            </w:r>
          </w:p>
        </w:tc>
        <w:tc>
          <w:tcPr>
            <w:tcW w:w="2410" w:type="dxa"/>
            <w:tcBorders>
              <w:top w:val="nil"/>
              <w:left w:val="single" w:sz="4" w:space="0" w:color="FFFFFF" w:themeColor="background1"/>
              <w:bottom w:val="nil"/>
              <w:right w:val="single" w:sz="4" w:space="0" w:color="FFFFFF" w:themeColor="background1"/>
            </w:tcBorders>
            <w:shd w:val="clear" w:color="auto" w:fill="A0D9F0"/>
            <w:vAlign w:val="center"/>
          </w:tcPr>
          <w:p w14:paraId="3A84300D" w14:textId="3FE4554F" w:rsidR="00D25B6B" w:rsidRDefault="00D25B6B" w:rsidP="00D25B6B">
            <w:pPr>
              <w:jc w:val="center"/>
            </w:pPr>
            <w:r w:rsidRPr="0066520C">
              <w:rPr>
                <w:rFonts w:eastAsiaTheme="minorHAnsi" w:cstheme="minorBidi"/>
              </w:rPr>
              <w:t>$140</w:t>
            </w:r>
          </w:p>
        </w:tc>
        <w:tc>
          <w:tcPr>
            <w:tcW w:w="2683" w:type="dxa"/>
            <w:tcBorders>
              <w:top w:val="nil"/>
              <w:left w:val="single" w:sz="4" w:space="0" w:color="FFFFFF" w:themeColor="background1"/>
              <w:bottom w:val="nil"/>
              <w:right w:val="nil"/>
            </w:tcBorders>
            <w:shd w:val="clear" w:color="auto" w:fill="A0D9F0"/>
            <w:vAlign w:val="center"/>
          </w:tcPr>
          <w:p w14:paraId="7C34434D" w14:textId="35A9804E" w:rsidR="00D25B6B" w:rsidRDefault="00D25B6B" w:rsidP="00D25B6B">
            <w:pPr>
              <w:jc w:val="center"/>
            </w:pPr>
            <w:r w:rsidRPr="0066520C">
              <w:rPr>
                <w:rFonts w:eastAsiaTheme="minorHAnsi" w:cstheme="minorBidi"/>
              </w:rPr>
              <w:t>$210</w:t>
            </w:r>
          </w:p>
        </w:tc>
      </w:tr>
      <w:tr w:rsidR="00D25B6B" w14:paraId="524BB5C9" w14:textId="77777777" w:rsidTr="00D25B6B">
        <w:trPr>
          <w:trHeight w:val="852"/>
        </w:trPr>
        <w:tc>
          <w:tcPr>
            <w:tcW w:w="5807" w:type="dxa"/>
            <w:tcBorders>
              <w:top w:val="nil"/>
              <w:left w:val="single" w:sz="4" w:space="0" w:color="FFFFFF" w:themeColor="background1"/>
              <w:bottom w:val="nil"/>
              <w:right w:val="single" w:sz="4" w:space="0" w:color="FFFFFF" w:themeColor="background1"/>
            </w:tcBorders>
            <w:shd w:val="clear" w:color="auto" w:fill="CFEBF7"/>
            <w:vAlign w:val="center"/>
          </w:tcPr>
          <w:p w14:paraId="42AC0A8D" w14:textId="77777777" w:rsidR="00D25B6B" w:rsidRPr="0066520C" w:rsidRDefault="00D25B6B" w:rsidP="00D25B6B">
            <w:pPr>
              <w:pStyle w:val="TableParagraph"/>
              <w:spacing w:before="40" w:line="24" w:lineRule="atLeast"/>
              <w:ind w:left="0"/>
              <w:jc w:val="center"/>
              <w:rPr>
                <w:b/>
                <w:color w:val="231F20"/>
                <w:sz w:val="24"/>
              </w:rPr>
            </w:pPr>
            <w:r w:rsidRPr="0066520C">
              <w:rPr>
                <w:b/>
                <w:color w:val="231F20"/>
                <w:sz w:val="24"/>
              </w:rPr>
              <w:t>Enduring power of attorney preparation</w:t>
            </w:r>
          </w:p>
          <w:p w14:paraId="2FBFA419" w14:textId="5D1D915F" w:rsidR="00D25B6B" w:rsidRDefault="00D25B6B" w:rsidP="00D25B6B">
            <w:pPr>
              <w:spacing w:line="24" w:lineRule="atLeast"/>
              <w:jc w:val="center"/>
            </w:pPr>
            <w:r w:rsidRPr="00426809">
              <w:rPr>
                <w:color w:val="231F20"/>
                <w:spacing w:val="-4"/>
                <w:sz w:val="18"/>
              </w:rPr>
              <w:t>(</w:t>
            </w:r>
            <w:r>
              <w:rPr>
                <w:color w:val="231F20"/>
                <w:spacing w:val="-4"/>
                <w:sz w:val="18"/>
              </w:rPr>
              <w:t>financial matters)</w:t>
            </w:r>
          </w:p>
        </w:tc>
        <w:tc>
          <w:tcPr>
            <w:tcW w:w="2410" w:type="dxa"/>
            <w:tcBorders>
              <w:top w:val="nil"/>
              <w:left w:val="single" w:sz="4" w:space="0" w:color="FFFFFF" w:themeColor="background1"/>
              <w:bottom w:val="nil"/>
              <w:right w:val="single" w:sz="4" w:space="0" w:color="FFFFFF" w:themeColor="background1"/>
            </w:tcBorders>
            <w:shd w:val="clear" w:color="auto" w:fill="CFEBF7"/>
            <w:vAlign w:val="center"/>
          </w:tcPr>
          <w:p w14:paraId="66071CBC" w14:textId="525ED4A9" w:rsidR="00D25B6B" w:rsidRDefault="00D25B6B" w:rsidP="00D25B6B">
            <w:pPr>
              <w:jc w:val="center"/>
            </w:pPr>
            <w:r w:rsidRPr="0066520C">
              <w:rPr>
                <w:rFonts w:eastAsiaTheme="minorHAnsi" w:cstheme="minorBidi"/>
              </w:rPr>
              <w:t>$140</w:t>
            </w:r>
          </w:p>
        </w:tc>
        <w:tc>
          <w:tcPr>
            <w:tcW w:w="2683" w:type="dxa"/>
            <w:tcBorders>
              <w:top w:val="nil"/>
              <w:left w:val="single" w:sz="4" w:space="0" w:color="FFFFFF" w:themeColor="background1"/>
              <w:bottom w:val="nil"/>
              <w:right w:val="nil"/>
            </w:tcBorders>
            <w:shd w:val="clear" w:color="auto" w:fill="CFEBF7"/>
            <w:vAlign w:val="center"/>
          </w:tcPr>
          <w:p w14:paraId="39E64757" w14:textId="1B11277F" w:rsidR="00D25B6B" w:rsidRDefault="00D25B6B" w:rsidP="00D25B6B">
            <w:pPr>
              <w:jc w:val="center"/>
            </w:pPr>
            <w:r w:rsidRPr="0066520C">
              <w:rPr>
                <w:rFonts w:eastAsiaTheme="minorHAnsi" w:cstheme="minorBidi"/>
              </w:rPr>
              <w:t>$210</w:t>
            </w:r>
          </w:p>
        </w:tc>
      </w:tr>
      <w:tr w:rsidR="00D25B6B" w14:paraId="04200A15" w14:textId="77777777" w:rsidTr="00D25B6B">
        <w:trPr>
          <w:trHeight w:val="852"/>
        </w:trPr>
        <w:tc>
          <w:tcPr>
            <w:tcW w:w="5807" w:type="dxa"/>
            <w:tcBorders>
              <w:top w:val="nil"/>
              <w:left w:val="single" w:sz="4" w:space="0" w:color="FFFFFF" w:themeColor="background1"/>
              <w:bottom w:val="nil"/>
              <w:right w:val="single" w:sz="4" w:space="0" w:color="FFFFFF" w:themeColor="background1"/>
            </w:tcBorders>
            <w:shd w:val="clear" w:color="auto" w:fill="A0D9F0"/>
            <w:vAlign w:val="center"/>
          </w:tcPr>
          <w:p w14:paraId="7C24ED47" w14:textId="77777777" w:rsidR="00D25B6B" w:rsidRPr="0066520C" w:rsidRDefault="00D25B6B" w:rsidP="00D25B6B">
            <w:pPr>
              <w:pStyle w:val="TableParagraph"/>
              <w:spacing w:before="40" w:line="24" w:lineRule="atLeast"/>
              <w:ind w:left="0"/>
              <w:jc w:val="center"/>
              <w:rPr>
                <w:b/>
                <w:color w:val="231F20"/>
                <w:sz w:val="24"/>
              </w:rPr>
            </w:pPr>
            <w:r>
              <w:rPr>
                <w:b/>
                <w:color w:val="231F20"/>
                <w:sz w:val="24"/>
              </w:rPr>
              <w:t xml:space="preserve">Enduring guardianship </w:t>
            </w:r>
            <w:r w:rsidRPr="0066520C">
              <w:rPr>
                <w:b/>
                <w:color w:val="231F20"/>
                <w:sz w:val="24"/>
              </w:rPr>
              <w:t>preparation</w:t>
            </w:r>
          </w:p>
          <w:p w14:paraId="3D89D06A" w14:textId="2FAFBB33" w:rsidR="00D25B6B" w:rsidRDefault="00D25B6B" w:rsidP="00D25B6B">
            <w:pPr>
              <w:spacing w:line="24" w:lineRule="atLeast"/>
              <w:jc w:val="center"/>
            </w:pPr>
            <w:r w:rsidRPr="00426809">
              <w:rPr>
                <w:color w:val="231F20"/>
                <w:spacing w:val="-4"/>
                <w:sz w:val="18"/>
                <w:szCs w:val="18"/>
              </w:rPr>
              <w:t xml:space="preserve">(medical </w:t>
            </w:r>
            <w:r w:rsidRPr="00426809">
              <w:rPr>
                <w:color w:val="231F20"/>
                <w:spacing w:val="-3"/>
                <w:sz w:val="18"/>
                <w:szCs w:val="18"/>
              </w:rPr>
              <w:t>and l</w:t>
            </w:r>
            <w:r w:rsidRPr="00426809">
              <w:rPr>
                <w:color w:val="231F20"/>
                <w:spacing w:val="-4"/>
                <w:sz w:val="18"/>
                <w:szCs w:val="18"/>
              </w:rPr>
              <w:t>ifestyle matters)</w:t>
            </w:r>
          </w:p>
        </w:tc>
        <w:tc>
          <w:tcPr>
            <w:tcW w:w="2410" w:type="dxa"/>
            <w:tcBorders>
              <w:top w:val="nil"/>
              <w:left w:val="single" w:sz="4" w:space="0" w:color="FFFFFF" w:themeColor="background1"/>
              <w:bottom w:val="nil"/>
              <w:right w:val="single" w:sz="4" w:space="0" w:color="FFFFFF" w:themeColor="background1"/>
            </w:tcBorders>
            <w:shd w:val="clear" w:color="auto" w:fill="A0D9F0"/>
            <w:vAlign w:val="center"/>
          </w:tcPr>
          <w:p w14:paraId="6B0D37AA" w14:textId="03AD577E" w:rsidR="00D25B6B" w:rsidRDefault="00D25B6B" w:rsidP="00D25B6B">
            <w:pPr>
              <w:jc w:val="center"/>
            </w:pPr>
            <w:r w:rsidRPr="0066520C">
              <w:rPr>
                <w:rFonts w:eastAsiaTheme="minorHAnsi" w:cstheme="minorBidi"/>
              </w:rPr>
              <w:t>$140</w:t>
            </w:r>
          </w:p>
        </w:tc>
        <w:tc>
          <w:tcPr>
            <w:tcW w:w="2683" w:type="dxa"/>
            <w:tcBorders>
              <w:top w:val="nil"/>
              <w:left w:val="single" w:sz="4" w:space="0" w:color="FFFFFF" w:themeColor="background1"/>
              <w:bottom w:val="nil"/>
              <w:right w:val="nil"/>
            </w:tcBorders>
            <w:shd w:val="clear" w:color="auto" w:fill="A0D9F0"/>
            <w:vAlign w:val="center"/>
          </w:tcPr>
          <w:p w14:paraId="751D67B2" w14:textId="2C022696" w:rsidR="00D25B6B" w:rsidRDefault="00D25B6B" w:rsidP="00D25B6B">
            <w:pPr>
              <w:jc w:val="center"/>
            </w:pPr>
            <w:r w:rsidRPr="0066520C">
              <w:rPr>
                <w:rFonts w:eastAsiaTheme="minorHAnsi" w:cstheme="minorBidi"/>
              </w:rPr>
              <w:t>$210</w:t>
            </w:r>
          </w:p>
        </w:tc>
      </w:tr>
      <w:tr w:rsidR="00D25B6B" w14:paraId="53FB50B1" w14:textId="77777777" w:rsidTr="00D25B6B">
        <w:tc>
          <w:tcPr>
            <w:tcW w:w="10900" w:type="dxa"/>
            <w:gridSpan w:val="3"/>
            <w:tcBorders>
              <w:top w:val="nil"/>
              <w:left w:val="nil"/>
              <w:bottom w:val="nil"/>
              <w:right w:val="nil"/>
            </w:tcBorders>
            <w:shd w:val="clear" w:color="auto" w:fill="CFEBF7"/>
          </w:tcPr>
          <w:p w14:paraId="7D419447" w14:textId="0198C86C" w:rsidR="00D25B6B" w:rsidRPr="003B4FC4" w:rsidRDefault="00D25B6B" w:rsidP="006D6F9C">
            <w:pPr>
              <w:pStyle w:val="NormalWeb"/>
              <w:spacing w:before="240" w:beforeAutospacing="0" w:after="240" w:afterAutospacing="0" w:line="24" w:lineRule="atLeast"/>
              <w:ind w:left="289" w:right="318"/>
              <w:textAlignment w:val="baseline"/>
              <w:rPr>
                <w:rFonts w:ascii="Century Gothic" w:eastAsiaTheme="minorHAnsi" w:hAnsi="Century Gothic" w:cstheme="minorBidi"/>
                <w:sz w:val="20"/>
                <w:szCs w:val="20"/>
                <w:lang w:eastAsia="en-US"/>
              </w:rPr>
            </w:pPr>
            <w:r>
              <w:rPr>
                <w:rFonts w:ascii="Century Gothic" w:eastAsiaTheme="minorHAnsi" w:hAnsi="Century Gothic" w:cstheme="minorBidi"/>
                <w:sz w:val="20"/>
                <w:szCs w:val="20"/>
                <w:lang w:eastAsia="en-US"/>
              </w:rPr>
              <w:t xml:space="preserve">If </w:t>
            </w:r>
            <w:r w:rsidRPr="003B4FC4">
              <w:rPr>
                <w:rFonts w:ascii="Century Gothic" w:eastAsiaTheme="minorHAnsi" w:hAnsi="Century Gothic" w:cstheme="minorBidi"/>
                <w:sz w:val="20"/>
                <w:szCs w:val="20"/>
                <w:lang w:eastAsia="en-US"/>
              </w:rPr>
              <w:t>the estate planning documents are complex to prepare an hourly fee of $295 (pro rata) may apply.</w:t>
            </w:r>
          </w:p>
          <w:p w14:paraId="57E26D04" w14:textId="77777777" w:rsidR="00D25B6B" w:rsidRPr="00450285" w:rsidRDefault="00D25B6B" w:rsidP="006D6F9C">
            <w:pPr>
              <w:pStyle w:val="NormalWeb"/>
              <w:spacing w:before="0" w:beforeAutospacing="0" w:after="240" w:afterAutospacing="0" w:line="24" w:lineRule="atLeast"/>
              <w:ind w:left="291" w:right="318"/>
              <w:textAlignment w:val="baseline"/>
              <w:rPr>
                <w:rFonts w:ascii="Century Gothic" w:eastAsiaTheme="minorHAnsi" w:hAnsi="Century Gothic" w:cstheme="minorBidi"/>
                <w:sz w:val="20"/>
                <w:szCs w:val="20"/>
                <w:lang w:eastAsia="en-US"/>
              </w:rPr>
            </w:pPr>
            <w:r w:rsidRPr="007379F3">
              <w:rPr>
                <w:rFonts w:ascii="Century Gothic" w:eastAsiaTheme="minorHAnsi" w:hAnsi="Century Gothic" w:cstheme="minorBidi"/>
                <w:sz w:val="20"/>
                <w:szCs w:val="20"/>
                <w:lang w:eastAsia="en-US"/>
              </w:rPr>
              <w:t xml:space="preserve">A standard Will and enduring power of attorney are prepared free for Seniors and Australian Government Pensioner concession card holders when the Public Trustee is appointed as executor/attorney (card must be presented and only applies to one appointment </w:t>
            </w:r>
            <w:r>
              <w:rPr>
                <w:rFonts w:ascii="Century Gothic" w:eastAsiaTheme="minorHAnsi" w:hAnsi="Century Gothic" w:cstheme="minorBidi"/>
                <w:sz w:val="20"/>
                <w:szCs w:val="20"/>
                <w:lang w:eastAsia="en-US"/>
              </w:rPr>
              <w:t>in a 12-month period</w:t>
            </w:r>
            <w:r w:rsidRPr="007379F3">
              <w:rPr>
                <w:rFonts w:ascii="Century Gothic" w:eastAsiaTheme="minorHAnsi" w:hAnsi="Century Gothic" w:cstheme="minorBidi"/>
                <w:sz w:val="20"/>
                <w:szCs w:val="20"/>
                <w:lang w:eastAsia="en-US"/>
              </w:rPr>
              <w:t>).</w:t>
            </w:r>
          </w:p>
          <w:p w14:paraId="247D0ACC" w14:textId="77777777" w:rsidR="00D25B6B" w:rsidRPr="003B4FC4" w:rsidRDefault="00D25B6B" w:rsidP="006D6F9C">
            <w:pPr>
              <w:pStyle w:val="ListParagraph"/>
              <w:widowControl/>
              <w:numPr>
                <w:ilvl w:val="0"/>
                <w:numId w:val="7"/>
              </w:numPr>
              <w:spacing w:before="0" w:after="120" w:line="24" w:lineRule="atLeast"/>
              <w:ind w:right="318"/>
              <w:rPr>
                <w:rFonts w:eastAsiaTheme="minorHAnsi" w:cstheme="minorBidi"/>
                <w:sz w:val="20"/>
                <w:szCs w:val="20"/>
                <w:lang w:val="en-AU"/>
              </w:rPr>
            </w:pPr>
            <w:r w:rsidRPr="003B4FC4">
              <w:rPr>
                <w:rFonts w:eastAsiaTheme="minorHAnsi" w:cstheme="minorBidi"/>
                <w:sz w:val="20"/>
                <w:szCs w:val="20"/>
                <w:lang w:val="en-AU"/>
              </w:rPr>
              <w:t xml:space="preserve">If you nominate Public Trustee as your executor fees will apply when we are required to administer your estate when you pass away. </w:t>
            </w:r>
          </w:p>
          <w:p w14:paraId="6C13ED81" w14:textId="77777777" w:rsidR="00D25B6B" w:rsidRPr="003B4FC4" w:rsidRDefault="00D25B6B" w:rsidP="006D6F9C">
            <w:pPr>
              <w:pStyle w:val="ListParagraph"/>
              <w:widowControl/>
              <w:numPr>
                <w:ilvl w:val="0"/>
                <w:numId w:val="7"/>
              </w:numPr>
              <w:spacing w:before="0" w:after="120" w:line="24" w:lineRule="atLeast"/>
              <w:ind w:right="318"/>
              <w:rPr>
                <w:rFonts w:eastAsiaTheme="minorHAnsi" w:cstheme="minorBidi"/>
                <w:sz w:val="20"/>
                <w:szCs w:val="20"/>
                <w:lang w:val="en-AU"/>
              </w:rPr>
            </w:pPr>
            <w:r w:rsidRPr="003B4FC4">
              <w:rPr>
                <w:rFonts w:eastAsiaTheme="minorHAnsi" w:cstheme="minorBidi"/>
                <w:sz w:val="20"/>
                <w:szCs w:val="20"/>
                <w:lang w:val="en-AU"/>
              </w:rPr>
              <w:t xml:space="preserve">If you nominate Public Trustee as your attorney fees will apply if we are required to manage your affairs if you lose </w:t>
            </w:r>
            <w:r>
              <w:rPr>
                <w:rFonts w:eastAsiaTheme="minorHAnsi" w:cstheme="minorBidi"/>
                <w:sz w:val="20"/>
                <w:szCs w:val="20"/>
                <w:lang w:val="en-AU"/>
              </w:rPr>
              <w:t xml:space="preserve">decision-making ability </w:t>
            </w:r>
            <w:r w:rsidRPr="003B4FC4">
              <w:rPr>
                <w:rFonts w:eastAsiaTheme="minorHAnsi" w:cstheme="minorBidi"/>
                <w:sz w:val="20"/>
                <w:szCs w:val="20"/>
                <w:lang w:val="en-AU"/>
              </w:rPr>
              <w:t xml:space="preserve">or </w:t>
            </w:r>
            <w:r>
              <w:rPr>
                <w:rFonts w:eastAsiaTheme="minorHAnsi" w:cstheme="minorBidi"/>
                <w:sz w:val="20"/>
                <w:szCs w:val="20"/>
                <w:lang w:val="en-AU"/>
              </w:rPr>
              <w:t xml:space="preserve">if </w:t>
            </w:r>
            <w:r w:rsidRPr="003B4FC4">
              <w:rPr>
                <w:rFonts w:eastAsiaTheme="minorHAnsi" w:cstheme="minorBidi"/>
                <w:sz w:val="20"/>
                <w:szCs w:val="20"/>
                <w:lang w:val="en-AU"/>
              </w:rPr>
              <w:t xml:space="preserve">you choose for us to manage your financial affairs. </w:t>
            </w:r>
          </w:p>
          <w:p w14:paraId="538B4CF2" w14:textId="77777777" w:rsidR="00D25B6B" w:rsidRPr="003B4FC4" w:rsidRDefault="00D25B6B" w:rsidP="006D6F9C">
            <w:pPr>
              <w:pStyle w:val="ListParagraph"/>
              <w:widowControl/>
              <w:numPr>
                <w:ilvl w:val="0"/>
                <w:numId w:val="7"/>
              </w:numPr>
              <w:spacing w:before="0" w:after="120" w:line="24" w:lineRule="atLeast"/>
              <w:ind w:right="318"/>
              <w:rPr>
                <w:rFonts w:eastAsiaTheme="minorHAnsi" w:cstheme="minorBidi"/>
                <w:sz w:val="20"/>
                <w:szCs w:val="20"/>
                <w:lang w:val="en-AU"/>
              </w:rPr>
            </w:pPr>
            <w:r w:rsidRPr="003B4FC4">
              <w:rPr>
                <w:rFonts w:eastAsiaTheme="minorHAnsi" w:cstheme="minorBidi"/>
                <w:sz w:val="20"/>
                <w:szCs w:val="20"/>
                <w:lang w:val="en-AU"/>
              </w:rPr>
              <w:t xml:space="preserve">Existing clients of the Public Trustee receive a 10% discount to prepare/revise new estate planning documents. </w:t>
            </w:r>
          </w:p>
          <w:p w14:paraId="2213CD16" w14:textId="77777777" w:rsidR="00D25B6B" w:rsidRPr="003B4FC4" w:rsidRDefault="00D25B6B" w:rsidP="006D6F9C">
            <w:pPr>
              <w:pStyle w:val="ListParagraph"/>
              <w:widowControl/>
              <w:numPr>
                <w:ilvl w:val="0"/>
                <w:numId w:val="7"/>
              </w:numPr>
              <w:spacing w:before="0" w:after="120" w:line="24" w:lineRule="atLeast"/>
              <w:ind w:right="318"/>
              <w:rPr>
                <w:rFonts w:eastAsiaTheme="minorHAnsi" w:cstheme="minorBidi"/>
                <w:sz w:val="20"/>
                <w:szCs w:val="20"/>
                <w:lang w:val="en-AU"/>
              </w:rPr>
            </w:pPr>
            <w:r w:rsidRPr="003B4FC4">
              <w:rPr>
                <w:rFonts w:eastAsiaTheme="minorHAnsi" w:cstheme="minorBidi"/>
                <w:sz w:val="20"/>
                <w:szCs w:val="20"/>
                <w:lang w:val="en-AU"/>
              </w:rPr>
              <w:t xml:space="preserve">Fees for couples </w:t>
            </w:r>
            <w:proofErr w:type="gramStart"/>
            <w:r w:rsidRPr="003B4FC4">
              <w:rPr>
                <w:rFonts w:eastAsiaTheme="minorHAnsi" w:cstheme="minorBidi"/>
                <w:sz w:val="20"/>
                <w:szCs w:val="20"/>
                <w:lang w:val="en-AU"/>
              </w:rPr>
              <w:t>are based on the assumption</w:t>
            </w:r>
            <w:proofErr w:type="gramEnd"/>
            <w:r w:rsidRPr="003B4FC4">
              <w:rPr>
                <w:rFonts w:eastAsiaTheme="minorHAnsi" w:cstheme="minorBidi"/>
                <w:sz w:val="20"/>
                <w:szCs w:val="20"/>
                <w:lang w:val="en-AU"/>
              </w:rPr>
              <w:t xml:space="preserve"> instructions are similar.</w:t>
            </w:r>
          </w:p>
          <w:p w14:paraId="6CAF916B" w14:textId="77777777" w:rsidR="00D25B6B" w:rsidRPr="003B4FC4" w:rsidRDefault="00D25B6B" w:rsidP="006D6F9C">
            <w:pPr>
              <w:pStyle w:val="ListParagraph"/>
              <w:widowControl/>
              <w:numPr>
                <w:ilvl w:val="0"/>
                <w:numId w:val="7"/>
              </w:numPr>
              <w:spacing w:before="0" w:after="120" w:line="24" w:lineRule="atLeast"/>
              <w:ind w:right="318"/>
              <w:rPr>
                <w:rFonts w:eastAsiaTheme="minorHAnsi" w:cstheme="minorBidi"/>
                <w:sz w:val="20"/>
                <w:szCs w:val="20"/>
                <w:lang w:val="en-AU"/>
              </w:rPr>
            </w:pPr>
            <w:r w:rsidRPr="003B4FC4">
              <w:rPr>
                <w:rFonts w:eastAsiaTheme="minorHAnsi" w:cstheme="minorBidi"/>
                <w:sz w:val="20"/>
                <w:szCs w:val="20"/>
                <w:lang w:val="en-AU"/>
              </w:rPr>
              <w:t xml:space="preserve">Will (with an enduring power of attorney), </w:t>
            </w:r>
            <w:r>
              <w:rPr>
                <w:rFonts w:eastAsiaTheme="minorHAnsi" w:cstheme="minorBidi"/>
                <w:sz w:val="20"/>
                <w:szCs w:val="20"/>
                <w:lang w:val="en-AU"/>
              </w:rPr>
              <w:t>e</w:t>
            </w:r>
            <w:r w:rsidRPr="003B4FC4">
              <w:rPr>
                <w:rFonts w:eastAsiaTheme="minorHAnsi" w:cstheme="minorBidi"/>
                <w:sz w:val="20"/>
                <w:szCs w:val="20"/>
                <w:lang w:val="en-AU"/>
              </w:rPr>
              <w:t xml:space="preserve">nduring power of attorney and </w:t>
            </w:r>
            <w:r>
              <w:rPr>
                <w:rFonts w:eastAsiaTheme="minorHAnsi" w:cstheme="minorBidi"/>
                <w:sz w:val="20"/>
                <w:szCs w:val="20"/>
                <w:lang w:val="en-AU"/>
              </w:rPr>
              <w:t xml:space="preserve">enduring </w:t>
            </w:r>
            <w:r w:rsidRPr="003B4FC4">
              <w:rPr>
                <w:rFonts w:eastAsiaTheme="minorHAnsi" w:cstheme="minorBidi"/>
                <w:sz w:val="20"/>
                <w:szCs w:val="20"/>
                <w:lang w:val="en-AU"/>
              </w:rPr>
              <w:t xml:space="preserve">guardianship preparation </w:t>
            </w:r>
            <w:r w:rsidRPr="009D2194">
              <w:rPr>
                <w:rFonts w:eastAsiaTheme="minorHAnsi" w:cstheme="minorBidi"/>
                <w:sz w:val="20"/>
                <w:szCs w:val="20"/>
                <w:lang w:val="en-AU"/>
              </w:rPr>
              <w:t xml:space="preserve">fees </w:t>
            </w:r>
            <w:r w:rsidRPr="003B4FC4">
              <w:rPr>
                <w:rFonts w:eastAsiaTheme="minorHAnsi" w:cstheme="minorBidi"/>
                <w:sz w:val="20"/>
                <w:szCs w:val="20"/>
                <w:lang w:val="en-AU"/>
              </w:rPr>
              <w:t>are based on the following standard appointment times</w:t>
            </w:r>
            <w:r>
              <w:rPr>
                <w:rFonts w:eastAsiaTheme="minorHAnsi" w:cstheme="minorBidi"/>
                <w:sz w:val="20"/>
                <w:szCs w:val="20"/>
                <w:lang w:val="en-AU"/>
              </w:rPr>
              <w:t>.</w:t>
            </w:r>
          </w:p>
          <w:p w14:paraId="266A9A34" w14:textId="77777777" w:rsidR="00D25B6B" w:rsidRPr="003B4FC4" w:rsidRDefault="00D25B6B" w:rsidP="006D6F9C">
            <w:pPr>
              <w:pStyle w:val="ListParagraph"/>
              <w:widowControl/>
              <w:numPr>
                <w:ilvl w:val="2"/>
                <w:numId w:val="7"/>
              </w:numPr>
              <w:spacing w:before="0" w:after="120" w:line="24" w:lineRule="atLeast"/>
              <w:ind w:right="885"/>
              <w:rPr>
                <w:rFonts w:eastAsiaTheme="minorHAnsi" w:cstheme="minorBidi"/>
                <w:sz w:val="20"/>
                <w:szCs w:val="20"/>
                <w:lang w:val="en-AU"/>
              </w:rPr>
            </w:pPr>
            <w:r w:rsidRPr="003B4FC4">
              <w:rPr>
                <w:rFonts w:eastAsiaTheme="minorHAnsi" w:cstheme="minorBidi"/>
                <w:sz w:val="20"/>
                <w:szCs w:val="20"/>
                <w:lang w:val="en-AU"/>
              </w:rPr>
              <w:t xml:space="preserve">Single person – 1 hour to take instructions + 30 minutes to draft the documents + </w:t>
            </w:r>
            <w:r>
              <w:rPr>
                <w:rFonts w:eastAsiaTheme="minorHAnsi" w:cstheme="minorBidi"/>
                <w:sz w:val="20"/>
                <w:szCs w:val="20"/>
                <w:lang w:val="en-AU"/>
              </w:rPr>
              <w:t xml:space="preserve">30 </w:t>
            </w:r>
            <w:r w:rsidRPr="003B4FC4">
              <w:rPr>
                <w:rFonts w:eastAsiaTheme="minorHAnsi" w:cstheme="minorBidi"/>
                <w:sz w:val="20"/>
                <w:szCs w:val="20"/>
                <w:lang w:val="en-AU"/>
              </w:rPr>
              <w:t xml:space="preserve">minutes for the documents to be signed. </w:t>
            </w:r>
          </w:p>
          <w:p w14:paraId="62AA78C2" w14:textId="77777777" w:rsidR="00D25B6B" w:rsidRPr="003B4FC4" w:rsidRDefault="00D25B6B" w:rsidP="006D6F9C">
            <w:pPr>
              <w:pStyle w:val="ListParagraph"/>
              <w:widowControl/>
              <w:numPr>
                <w:ilvl w:val="2"/>
                <w:numId w:val="7"/>
              </w:numPr>
              <w:spacing w:before="0" w:after="120" w:line="24" w:lineRule="atLeast"/>
              <w:ind w:right="1168"/>
              <w:rPr>
                <w:rFonts w:eastAsiaTheme="minorHAnsi" w:cstheme="minorBidi"/>
                <w:sz w:val="20"/>
                <w:szCs w:val="20"/>
                <w:lang w:val="en-AU"/>
              </w:rPr>
            </w:pPr>
            <w:r w:rsidRPr="003B4FC4">
              <w:rPr>
                <w:rFonts w:eastAsiaTheme="minorHAnsi" w:cstheme="minorBidi"/>
                <w:sz w:val="20"/>
                <w:szCs w:val="20"/>
                <w:lang w:val="en-AU"/>
              </w:rPr>
              <w:t xml:space="preserve">Couples – 1.5 hours to take instructions + 30 minutes to draft the documents + </w:t>
            </w:r>
            <w:r>
              <w:rPr>
                <w:rFonts w:eastAsiaTheme="minorHAnsi" w:cstheme="minorBidi"/>
                <w:sz w:val="20"/>
                <w:szCs w:val="20"/>
                <w:lang w:val="en-AU"/>
              </w:rPr>
              <w:t>30</w:t>
            </w:r>
            <w:r w:rsidRPr="003B4FC4">
              <w:rPr>
                <w:rFonts w:eastAsiaTheme="minorHAnsi" w:cstheme="minorBidi"/>
                <w:sz w:val="20"/>
                <w:szCs w:val="20"/>
                <w:lang w:val="en-AU"/>
              </w:rPr>
              <w:t xml:space="preserve"> minutes for the documents to be signed. </w:t>
            </w:r>
          </w:p>
          <w:p w14:paraId="40E78956" w14:textId="77777777" w:rsidR="00D25B6B" w:rsidRPr="00176FE4" w:rsidRDefault="00D25B6B" w:rsidP="006D6F9C">
            <w:pPr>
              <w:pStyle w:val="ListParagraph"/>
              <w:widowControl/>
              <w:numPr>
                <w:ilvl w:val="0"/>
                <w:numId w:val="7"/>
              </w:numPr>
              <w:spacing w:before="0" w:after="120" w:line="24" w:lineRule="atLeast"/>
              <w:ind w:right="318"/>
              <w:rPr>
                <w:rFonts w:eastAsiaTheme="minorHAnsi" w:cstheme="minorBidi"/>
                <w:sz w:val="20"/>
                <w:szCs w:val="20"/>
                <w:lang w:val="en-AU"/>
              </w:rPr>
            </w:pPr>
            <w:r w:rsidRPr="00604708">
              <w:rPr>
                <w:rFonts w:eastAsiaTheme="minorHAnsi" w:cstheme="minorBidi"/>
                <w:sz w:val="20"/>
                <w:szCs w:val="20"/>
                <w:lang w:val="en-AU"/>
              </w:rPr>
              <w:t>If your appointment takes longer than the standard time to provide your instructions and/or for us to provide advice on completing your documents, we will discuss your options with you before additional time is charged.  If required, additional time is charged at $295 per hour, billed in 6-</w:t>
            </w:r>
            <w:r w:rsidRPr="00176FE4">
              <w:rPr>
                <w:rFonts w:eastAsiaTheme="minorHAnsi" w:cstheme="minorBidi"/>
                <w:sz w:val="20"/>
                <w:szCs w:val="20"/>
                <w:lang w:val="en-AU"/>
              </w:rPr>
              <w:t xml:space="preserve">minute units ($29.50 per unit), based on the actual time used. </w:t>
            </w:r>
          </w:p>
          <w:p w14:paraId="71202D35" w14:textId="77777777" w:rsidR="00B41DA8" w:rsidRPr="00176FE4" w:rsidRDefault="00B41DA8" w:rsidP="006D6F9C">
            <w:pPr>
              <w:pStyle w:val="ListParagraph"/>
              <w:widowControl/>
              <w:numPr>
                <w:ilvl w:val="0"/>
                <w:numId w:val="7"/>
              </w:numPr>
              <w:spacing w:before="0" w:after="120" w:line="24" w:lineRule="atLeast"/>
              <w:ind w:right="318"/>
              <w:rPr>
                <w:rFonts w:eastAsiaTheme="minorHAnsi" w:cstheme="minorBidi"/>
                <w:sz w:val="20"/>
                <w:szCs w:val="20"/>
                <w:lang w:val="en-AU"/>
              </w:rPr>
            </w:pPr>
            <w:r w:rsidRPr="00176FE4">
              <w:rPr>
                <w:rFonts w:eastAsiaTheme="minorHAnsi" w:cstheme="minorBidi"/>
                <w:sz w:val="20"/>
                <w:szCs w:val="20"/>
                <w:lang w:val="en-AU"/>
              </w:rPr>
              <w:t>There is an additional Government registration fee to register an enduring guardianship and or an enduring power of attorney. If the Public Trustee is asked to register an enduring guardianship or enduring power of attorney, an administration fee of $40 is also charged per document.</w:t>
            </w:r>
          </w:p>
          <w:p w14:paraId="55EF08E7" w14:textId="77777777" w:rsidR="00D25B6B" w:rsidRPr="00176FE4" w:rsidRDefault="00D25B6B" w:rsidP="006D6F9C">
            <w:pPr>
              <w:pStyle w:val="ListParagraph"/>
              <w:widowControl/>
              <w:numPr>
                <w:ilvl w:val="0"/>
                <w:numId w:val="7"/>
              </w:numPr>
              <w:spacing w:before="0" w:after="120" w:line="24" w:lineRule="atLeast"/>
              <w:ind w:right="318"/>
              <w:rPr>
                <w:rFonts w:eastAsiaTheme="minorHAnsi" w:cstheme="minorBidi"/>
                <w:sz w:val="20"/>
                <w:szCs w:val="20"/>
                <w:lang w:val="en-AU"/>
              </w:rPr>
            </w:pPr>
            <w:r w:rsidRPr="00176FE4">
              <w:rPr>
                <w:rFonts w:eastAsiaTheme="minorHAnsi" w:cstheme="minorBidi"/>
                <w:sz w:val="20"/>
                <w:szCs w:val="20"/>
                <w:lang w:val="en-AU"/>
              </w:rPr>
              <w:t>Telephone, online and office appointments are available.</w:t>
            </w:r>
          </w:p>
          <w:p w14:paraId="533283E9" w14:textId="6227F425" w:rsidR="00D25B6B" w:rsidRDefault="00D25B6B" w:rsidP="00D25B6B">
            <w:pPr>
              <w:spacing w:line="24" w:lineRule="atLeast"/>
            </w:pPr>
          </w:p>
        </w:tc>
      </w:tr>
    </w:tbl>
    <w:p w14:paraId="4CBB042F" w14:textId="77777777" w:rsidR="003403A8" w:rsidRDefault="003403A8" w:rsidP="00623FB7">
      <w:pPr>
        <w:pStyle w:val="BodyText"/>
        <w:spacing w:before="12"/>
        <w:rPr>
          <w:color w:val="08BCE5"/>
          <w:sz w:val="26"/>
          <w:szCs w:val="26"/>
        </w:rPr>
        <w:sectPr w:rsidR="003403A8" w:rsidSect="00D168ED">
          <w:headerReference w:type="default" r:id="rId8"/>
          <w:footerReference w:type="default" r:id="rId9"/>
          <w:footerReference w:type="first" r:id="rId10"/>
          <w:type w:val="continuous"/>
          <w:pgSz w:w="11910" w:h="16840"/>
          <w:pgMar w:top="0" w:right="440" w:bottom="280" w:left="560" w:header="0" w:footer="0" w:gutter="0"/>
          <w:cols w:space="720"/>
          <w:docGrid w:linePitch="299"/>
        </w:sectPr>
      </w:pPr>
    </w:p>
    <w:p w14:paraId="4B197082" w14:textId="36559B7B" w:rsidR="003403A8" w:rsidRPr="003403A8" w:rsidRDefault="003403A8" w:rsidP="003403A8">
      <w:pPr>
        <w:tabs>
          <w:tab w:val="center" w:pos="5455"/>
        </w:tabs>
        <w:sectPr w:rsidR="003403A8" w:rsidRPr="003403A8" w:rsidSect="003403A8">
          <w:footerReference w:type="default" r:id="rId11"/>
          <w:pgSz w:w="11910" w:h="16840"/>
          <w:pgMar w:top="0" w:right="440" w:bottom="280" w:left="560" w:header="0" w:footer="0" w:gutter="0"/>
          <w:cols w:space="720"/>
          <w:docGrid w:linePitch="299"/>
        </w:sectPr>
      </w:pPr>
    </w:p>
    <w:p w14:paraId="3B7A4F8D" w14:textId="299CDB60" w:rsidR="008E0A5A" w:rsidRPr="0061240A" w:rsidRDefault="00D02AF3" w:rsidP="0061240A">
      <w:pPr>
        <w:pStyle w:val="Heading1"/>
        <w:spacing w:before="0"/>
        <w:ind w:left="102" w:right="6"/>
        <w:rPr>
          <w:color w:val="08BCE5"/>
        </w:rPr>
      </w:pPr>
      <w:r>
        <w:rPr>
          <w:color w:val="08BCE5"/>
        </w:rPr>
        <w:t xml:space="preserve"> </w:t>
      </w:r>
      <w:r w:rsidR="00426809">
        <w:rPr>
          <w:color w:val="08BCE5"/>
        </w:rPr>
        <w:t>FEES TO</w:t>
      </w:r>
      <w:r w:rsidR="00F175A9">
        <w:rPr>
          <w:color w:val="08BCE5"/>
        </w:rPr>
        <w:t xml:space="preserve"> ADMINISTER AN ESTATE</w:t>
      </w:r>
    </w:p>
    <w:tbl>
      <w:tblPr>
        <w:tblW w:w="4989"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139"/>
        <w:gridCol w:w="850"/>
      </w:tblGrid>
      <w:tr w:rsidR="00623FB7" w14:paraId="4C2B1309" w14:textId="77777777" w:rsidTr="001D2073">
        <w:trPr>
          <w:trHeight w:hRule="exact" w:val="735"/>
        </w:trPr>
        <w:tc>
          <w:tcPr>
            <w:tcW w:w="4139" w:type="dxa"/>
            <w:shd w:val="clear" w:color="auto" w:fill="A0D9F0"/>
          </w:tcPr>
          <w:p w14:paraId="5E4AB94D" w14:textId="77777777" w:rsidR="00623FB7" w:rsidRPr="00C01126" w:rsidRDefault="00623FB7" w:rsidP="001D2073">
            <w:pPr>
              <w:pStyle w:val="TableParagraph"/>
              <w:spacing w:before="114" w:line="283" w:lineRule="auto"/>
              <w:ind w:right="68"/>
              <w:rPr>
                <w:sz w:val="20"/>
                <w:szCs w:val="20"/>
              </w:rPr>
            </w:pPr>
            <w:r w:rsidRPr="00C01126">
              <w:rPr>
                <w:color w:val="231F20"/>
                <w:sz w:val="20"/>
                <w:szCs w:val="20"/>
              </w:rPr>
              <w:t xml:space="preserve">If </w:t>
            </w:r>
            <w:r w:rsidRPr="00C01126">
              <w:rPr>
                <w:color w:val="231F20"/>
                <w:spacing w:val="-3"/>
                <w:sz w:val="20"/>
                <w:szCs w:val="20"/>
              </w:rPr>
              <w:t xml:space="preserve">you own </w:t>
            </w:r>
            <w:r w:rsidRPr="00C01126">
              <w:rPr>
                <w:color w:val="231F20"/>
                <w:spacing w:val="-4"/>
                <w:sz w:val="20"/>
                <w:szCs w:val="20"/>
              </w:rPr>
              <w:t xml:space="preserve">assets (say, </w:t>
            </w:r>
            <w:r w:rsidRPr="00C01126">
              <w:rPr>
                <w:color w:val="231F20"/>
                <w:spacing w:val="-3"/>
                <w:sz w:val="20"/>
                <w:szCs w:val="20"/>
              </w:rPr>
              <w:t xml:space="preserve">your </w:t>
            </w:r>
            <w:r w:rsidRPr="00C01126">
              <w:rPr>
                <w:color w:val="231F20"/>
                <w:spacing w:val="-4"/>
                <w:sz w:val="20"/>
                <w:szCs w:val="20"/>
              </w:rPr>
              <w:t xml:space="preserve">house, </w:t>
            </w:r>
            <w:r w:rsidRPr="00C01126">
              <w:rPr>
                <w:color w:val="231F20"/>
                <w:sz w:val="20"/>
                <w:szCs w:val="20"/>
              </w:rPr>
              <w:t xml:space="preserve">or </w:t>
            </w:r>
            <w:r w:rsidRPr="00C01126">
              <w:rPr>
                <w:color w:val="231F20"/>
                <w:spacing w:val="-4"/>
                <w:sz w:val="20"/>
                <w:szCs w:val="20"/>
              </w:rPr>
              <w:t xml:space="preserve">land) as </w:t>
            </w:r>
            <w:r w:rsidRPr="00C01126">
              <w:rPr>
                <w:color w:val="231F20"/>
                <w:sz w:val="20"/>
                <w:szCs w:val="20"/>
              </w:rPr>
              <w:t xml:space="preserve">a </w:t>
            </w:r>
            <w:r w:rsidRPr="00C01126">
              <w:rPr>
                <w:color w:val="231F20"/>
                <w:spacing w:val="-4"/>
                <w:sz w:val="20"/>
                <w:szCs w:val="20"/>
              </w:rPr>
              <w:t>joint tenant</w:t>
            </w:r>
          </w:p>
        </w:tc>
        <w:tc>
          <w:tcPr>
            <w:tcW w:w="850" w:type="dxa"/>
            <w:shd w:val="clear" w:color="auto" w:fill="A0D9F0"/>
          </w:tcPr>
          <w:p w14:paraId="73B39A15" w14:textId="77777777" w:rsidR="00623FB7" w:rsidRPr="00C01126" w:rsidRDefault="00623FB7" w:rsidP="001D2073">
            <w:pPr>
              <w:pStyle w:val="TableParagraph"/>
              <w:spacing w:before="114"/>
              <w:ind w:left="0" w:right="299"/>
              <w:jc w:val="right"/>
              <w:rPr>
                <w:sz w:val="20"/>
                <w:szCs w:val="20"/>
              </w:rPr>
            </w:pPr>
            <w:r w:rsidRPr="00C01126">
              <w:rPr>
                <w:color w:val="231F20"/>
                <w:sz w:val="20"/>
                <w:szCs w:val="20"/>
              </w:rPr>
              <w:t>0%</w:t>
            </w:r>
          </w:p>
        </w:tc>
      </w:tr>
      <w:tr w:rsidR="00623FB7" w14:paraId="396477AD" w14:textId="77777777" w:rsidTr="001D2073">
        <w:trPr>
          <w:trHeight w:hRule="exact" w:val="1515"/>
        </w:trPr>
        <w:tc>
          <w:tcPr>
            <w:tcW w:w="4139" w:type="dxa"/>
            <w:shd w:val="clear" w:color="auto" w:fill="CFEBF7"/>
          </w:tcPr>
          <w:p w14:paraId="2B862067" w14:textId="77777777" w:rsidR="00623FB7" w:rsidRPr="00C01126" w:rsidRDefault="00623FB7" w:rsidP="001D2073">
            <w:pPr>
              <w:pStyle w:val="TableParagraph"/>
              <w:spacing w:before="114" w:line="283" w:lineRule="auto"/>
              <w:rPr>
                <w:sz w:val="20"/>
                <w:szCs w:val="20"/>
              </w:rPr>
            </w:pPr>
            <w:r w:rsidRPr="00C01126">
              <w:rPr>
                <w:color w:val="231F20"/>
                <w:sz w:val="20"/>
                <w:szCs w:val="20"/>
              </w:rPr>
              <w:t xml:space="preserve">If </w:t>
            </w:r>
            <w:r w:rsidRPr="00C01126">
              <w:rPr>
                <w:color w:val="231F20"/>
                <w:spacing w:val="-3"/>
                <w:sz w:val="20"/>
                <w:szCs w:val="20"/>
              </w:rPr>
              <w:t xml:space="preserve">you have </w:t>
            </w:r>
            <w:proofErr w:type="gramStart"/>
            <w:r w:rsidRPr="00C01126">
              <w:rPr>
                <w:color w:val="231F20"/>
                <w:spacing w:val="-4"/>
                <w:sz w:val="20"/>
                <w:szCs w:val="20"/>
              </w:rPr>
              <w:t>solely-owned</w:t>
            </w:r>
            <w:proofErr w:type="gramEnd"/>
            <w:r w:rsidRPr="00C01126">
              <w:rPr>
                <w:color w:val="231F20"/>
                <w:spacing w:val="-4"/>
                <w:sz w:val="20"/>
                <w:szCs w:val="20"/>
              </w:rPr>
              <w:t xml:space="preserve"> assets which </w:t>
            </w:r>
            <w:r w:rsidRPr="00C01126">
              <w:rPr>
                <w:color w:val="231F20"/>
                <w:spacing w:val="-3"/>
                <w:sz w:val="20"/>
                <w:szCs w:val="20"/>
              </w:rPr>
              <w:t xml:space="preserve">are </w:t>
            </w:r>
            <w:r w:rsidRPr="00C01126">
              <w:rPr>
                <w:color w:val="231F20"/>
                <w:spacing w:val="-4"/>
                <w:sz w:val="20"/>
                <w:szCs w:val="20"/>
              </w:rPr>
              <w:t xml:space="preserve">classed </w:t>
            </w:r>
            <w:r w:rsidRPr="00C01126">
              <w:rPr>
                <w:color w:val="231F20"/>
                <w:sz w:val="20"/>
                <w:szCs w:val="20"/>
              </w:rPr>
              <w:t xml:space="preserve">as </w:t>
            </w:r>
            <w:r w:rsidRPr="00C01126">
              <w:rPr>
                <w:color w:val="231F20"/>
                <w:spacing w:val="-4"/>
                <w:sz w:val="20"/>
                <w:szCs w:val="20"/>
              </w:rPr>
              <w:t xml:space="preserve">‘matrimonial assets’ </w:t>
            </w:r>
            <w:r w:rsidRPr="00C01126">
              <w:rPr>
                <w:color w:val="231F20"/>
                <w:spacing w:val="-3"/>
                <w:sz w:val="20"/>
                <w:szCs w:val="20"/>
              </w:rPr>
              <w:t xml:space="preserve">and </w:t>
            </w:r>
            <w:r w:rsidRPr="00C01126">
              <w:rPr>
                <w:color w:val="231F20"/>
                <w:spacing w:val="-4"/>
                <w:sz w:val="20"/>
                <w:szCs w:val="20"/>
              </w:rPr>
              <w:t xml:space="preserve">which </w:t>
            </w:r>
            <w:r w:rsidRPr="00C01126">
              <w:rPr>
                <w:color w:val="231F20"/>
                <w:spacing w:val="-3"/>
                <w:sz w:val="20"/>
                <w:szCs w:val="20"/>
              </w:rPr>
              <w:t xml:space="preserve">are </w:t>
            </w:r>
            <w:r w:rsidRPr="00C01126">
              <w:rPr>
                <w:color w:val="231F20"/>
                <w:spacing w:val="-4"/>
                <w:sz w:val="20"/>
                <w:szCs w:val="20"/>
              </w:rPr>
              <w:t xml:space="preserve">transferred </w:t>
            </w:r>
            <w:r w:rsidRPr="00C01126">
              <w:rPr>
                <w:color w:val="231F20"/>
                <w:sz w:val="20"/>
                <w:szCs w:val="20"/>
              </w:rPr>
              <w:t xml:space="preserve">to </w:t>
            </w:r>
            <w:r w:rsidRPr="00C01126">
              <w:rPr>
                <w:color w:val="231F20"/>
                <w:spacing w:val="-3"/>
                <w:sz w:val="20"/>
                <w:szCs w:val="20"/>
              </w:rPr>
              <w:t xml:space="preserve">your </w:t>
            </w:r>
            <w:r w:rsidRPr="00C01126">
              <w:rPr>
                <w:color w:val="231F20"/>
                <w:spacing w:val="-4"/>
                <w:sz w:val="20"/>
                <w:szCs w:val="20"/>
              </w:rPr>
              <w:t xml:space="preserve">surviving spouse </w:t>
            </w:r>
            <w:r w:rsidRPr="00C01126">
              <w:rPr>
                <w:color w:val="231F20"/>
                <w:sz w:val="20"/>
                <w:szCs w:val="20"/>
              </w:rPr>
              <w:t xml:space="preserve">or </w:t>
            </w:r>
            <w:proofErr w:type="spellStart"/>
            <w:r w:rsidRPr="00C01126">
              <w:rPr>
                <w:color w:val="231F20"/>
                <w:spacing w:val="-4"/>
                <w:sz w:val="20"/>
                <w:szCs w:val="20"/>
              </w:rPr>
              <w:t>defacto</w:t>
            </w:r>
            <w:proofErr w:type="spellEnd"/>
            <w:r w:rsidRPr="00C01126">
              <w:rPr>
                <w:color w:val="231F20"/>
                <w:spacing w:val="-4"/>
                <w:sz w:val="20"/>
                <w:szCs w:val="20"/>
              </w:rPr>
              <w:t xml:space="preserve"> partner </w:t>
            </w:r>
            <w:r w:rsidRPr="00C01126">
              <w:rPr>
                <w:color w:val="231F20"/>
                <w:sz w:val="20"/>
                <w:szCs w:val="20"/>
              </w:rPr>
              <w:t xml:space="preserve">- </w:t>
            </w:r>
            <w:r w:rsidRPr="00C01126">
              <w:rPr>
                <w:color w:val="231F20"/>
                <w:spacing w:val="-3"/>
                <w:sz w:val="20"/>
                <w:szCs w:val="20"/>
              </w:rPr>
              <w:t xml:space="preserve">for </w:t>
            </w:r>
            <w:r w:rsidRPr="00C01126">
              <w:rPr>
                <w:color w:val="231F20"/>
                <w:spacing w:val="-4"/>
                <w:sz w:val="20"/>
                <w:szCs w:val="20"/>
              </w:rPr>
              <w:t xml:space="preserve">example </w:t>
            </w:r>
            <w:r w:rsidRPr="00C01126">
              <w:rPr>
                <w:color w:val="231F20"/>
                <w:spacing w:val="-3"/>
                <w:sz w:val="20"/>
                <w:szCs w:val="20"/>
              </w:rPr>
              <w:t xml:space="preserve">the </w:t>
            </w:r>
            <w:r w:rsidRPr="00C01126">
              <w:rPr>
                <w:color w:val="231F20"/>
                <w:spacing w:val="-4"/>
                <w:sz w:val="20"/>
                <w:szCs w:val="20"/>
              </w:rPr>
              <w:t xml:space="preserve">family home, motor vehicle, household effects </w:t>
            </w:r>
            <w:r w:rsidRPr="00C01126">
              <w:rPr>
                <w:color w:val="231F20"/>
                <w:spacing w:val="-3"/>
                <w:sz w:val="20"/>
                <w:szCs w:val="20"/>
              </w:rPr>
              <w:t xml:space="preserve">and </w:t>
            </w:r>
            <w:r w:rsidRPr="00C01126">
              <w:rPr>
                <w:color w:val="231F20"/>
                <w:spacing w:val="-4"/>
                <w:sz w:val="20"/>
                <w:szCs w:val="20"/>
              </w:rPr>
              <w:t>furniture</w:t>
            </w:r>
          </w:p>
        </w:tc>
        <w:tc>
          <w:tcPr>
            <w:tcW w:w="850" w:type="dxa"/>
            <w:shd w:val="clear" w:color="auto" w:fill="CFEBF7"/>
          </w:tcPr>
          <w:p w14:paraId="5395EAFB" w14:textId="77777777" w:rsidR="00623FB7" w:rsidRPr="00C01126" w:rsidRDefault="00623FB7" w:rsidP="001D2073">
            <w:pPr>
              <w:pStyle w:val="TableParagraph"/>
              <w:ind w:left="0" w:right="229"/>
              <w:jc w:val="right"/>
              <w:rPr>
                <w:sz w:val="20"/>
                <w:szCs w:val="20"/>
              </w:rPr>
            </w:pPr>
            <w:r w:rsidRPr="00C01126">
              <w:rPr>
                <w:color w:val="231F20"/>
                <w:sz w:val="20"/>
                <w:szCs w:val="20"/>
              </w:rPr>
              <w:t>2.2%</w:t>
            </w:r>
          </w:p>
        </w:tc>
      </w:tr>
      <w:tr w:rsidR="00623FB7" w14:paraId="3B978E8E" w14:textId="77777777" w:rsidTr="001D2073">
        <w:trPr>
          <w:trHeight w:hRule="exact" w:val="735"/>
        </w:trPr>
        <w:tc>
          <w:tcPr>
            <w:tcW w:w="4989" w:type="dxa"/>
            <w:gridSpan w:val="2"/>
            <w:shd w:val="clear" w:color="auto" w:fill="A0D9F0"/>
          </w:tcPr>
          <w:p w14:paraId="5E4FEF2E" w14:textId="77777777" w:rsidR="00623FB7" w:rsidRPr="00C01126" w:rsidRDefault="00623FB7" w:rsidP="001D2073">
            <w:pPr>
              <w:pStyle w:val="TableParagraph"/>
              <w:spacing w:line="283" w:lineRule="auto"/>
              <w:rPr>
                <w:sz w:val="20"/>
                <w:szCs w:val="20"/>
              </w:rPr>
            </w:pPr>
            <w:r w:rsidRPr="00C01126">
              <w:rPr>
                <w:color w:val="231F20"/>
                <w:sz w:val="20"/>
                <w:szCs w:val="20"/>
              </w:rPr>
              <w:t xml:space="preserve">If </w:t>
            </w:r>
            <w:r w:rsidRPr="00C01126">
              <w:rPr>
                <w:color w:val="231F20"/>
                <w:spacing w:val="-4"/>
                <w:sz w:val="20"/>
                <w:szCs w:val="20"/>
              </w:rPr>
              <w:t xml:space="preserve">assets </w:t>
            </w:r>
            <w:r w:rsidRPr="00C01126">
              <w:rPr>
                <w:color w:val="231F20"/>
                <w:spacing w:val="-3"/>
                <w:sz w:val="20"/>
                <w:szCs w:val="20"/>
              </w:rPr>
              <w:t xml:space="preserve">held </w:t>
            </w:r>
            <w:r w:rsidRPr="00C01126">
              <w:rPr>
                <w:color w:val="231F20"/>
                <w:sz w:val="20"/>
                <w:szCs w:val="20"/>
              </w:rPr>
              <w:t xml:space="preserve">in </w:t>
            </w:r>
            <w:r w:rsidRPr="00C01126">
              <w:rPr>
                <w:color w:val="231F20"/>
                <w:spacing w:val="-3"/>
                <w:sz w:val="20"/>
                <w:szCs w:val="20"/>
              </w:rPr>
              <w:t xml:space="preserve">your sole name are </w:t>
            </w:r>
            <w:proofErr w:type="spellStart"/>
            <w:r w:rsidRPr="00C01126">
              <w:rPr>
                <w:color w:val="231F20"/>
                <w:spacing w:val="-4"/>
                <w:sz w:val="20"/>
                <w:szCs w:val="20"/>
              </w:rPr>
              <w:t>realised</w:t>
            </w:r>
            <w:proofErr w:type="spellEnd"/>
            <w:r w:rsidRPr="00C01126">
              <w:rPr>
                <w:color w:val="231F20"/>
                <w:spacing w:val="-4"/>
                <w:sz w:val="20"/>
                <w:szCs w:val="20"/>
              </w:rPr>
              <w:t xml:space="preserve"> </w:t>
            </w:r>
            <w:r w:rsidRPr="00C01126">
              <w:rPr>
                <w:color w:val="231F20"/>
                <w:sz w:val="20"/>
                <w:szCs w:val="20"/>
              </w:rPr>
              <w:t xml:space="preserve">or </w:t>
            </w:r>
            <w:r w:rsidRPr="00C01126">
              <w:rPr>
                <w:color w:val="231F20"/>
                <w:spacing w:val="-5"/>
                <w:sz w:val="20"/>
                <w:szCs w:val="20"/>
              </w:rPr>
              <w:t xml:space="preserve">transferred </w:t>
            </w:r>
            <w:r w:rsidRPr="00C01126">
              <w:rPr>
                <w:color w:val="231F20"/>
                <w:sz w:val="20"/>
                <w:szCs w:val="20"/>
              </w:rPr>
              <w:t xml:space="preserve">to a </w:t>
            </w:r>
            <w:r w:rsidRPr="00C01126">
              <w:rPr>
                <w:color w:val="231F20"/>
                <w:spacing w:val="-4"/>
                <w:sz w:val="20"/>
                <w:szCs w:val="20"/>
              </w:rPr>
              <w:t xml:space="preserve">beneficiary </w:t>
            </w:r>
            <w:r w:rsidRPr="00C01126">
              <w:rPr>
                <w:color w:val="231F20"/>
                <w:spacing w:val="-3"/>
                <w:sz w:val="20"/>
                <w:szCs w:val="20"/>
              </w:rPr>
              <w:t xml:space="preserve">the </w:t>
            </w:r>
            <w:r w:rsidRPr="00C01126">
              <w:rPr>
                <w:color w:val="231F20"/>
                <w:spacing w:val="-4"/>
                <w:sz w:val="20"/>
                <w:szCs w:val="20"/>
              </w:rPr>
              <w:t xml:space="preserve">following </w:t>
            </w:r>
            <w:r w:rsidRPr="00C01126">
              <w:rPr>
                <w:color w:val="231F20"/>
                <w:spacing w:val="-3"/>
                <w:sz w:val="20"/>
                <w:szCs w:val="20"/>
              </w:rPr>
              <w:t xml:space="preserve">fees </w:t>
            </w:r>
            <w:r w:rsidRPr="00C01126">
              <w:rPr>
                <w:color w:val="231F20"/>
                <w:spacing w:val="-4"/>
                <w:sz w:val="20"/>
                <w:szCs w:val="20"/>
              </w:rPr>
              <w:t>apply:</w:t>
            </w:r>
          </w:p>
        </w:tc>
      </w:tr>
      <w:tr w:rsidR="00623FB7" w14:paraId="7923B33D" w14:textId="77777777" w:rsidTr="001D2073">
        <w:trPr>
          <w:trHeight w:hRule="exact" w:val="475"/>
        </w:trPr>
        <w:tc>
          <w:tcPr>
            <w:tcW w:w="4139" w:type="dxa"/>
            <w:shd w:val="clear" w:color="auto" w:fill="CFEBF7"/>
          </w:tcPr>
          <w:p w14:paraId="4044A511" w14:textId="77777777" w:rsidR="00623FB7" w:rsidRPr="00C01126" w:rsidRDefault="00672847" w:rsidP="001D2073">
            <w:pPr>
              <w:pStyle w:val="TableParagraph"/>
              <w:ind w:right="68"/>
              <w:rPr>
                <w:sz w:val="20"/>
                <w:szCs w:val="20"/>
              </w:rPr>
            </w:pPr>
            <w:r w:rsidRPr="00C01126">
              <w:rPr>
                <w:color w:val="231F20"/>
                <w:sz w:val="20"/>
                <w:szCs w:val="20"/>
              </w:rPr>
              <w:t>On the first $2</w:t>
            </w:r>
            <w:r w:rsidR="00623FB7" w:rsidRPr="00C01126">
              <w:rPr>
                <w:color w:val="231F20"/>
                <w:sz w:val="20"/>
                <w:szCs w:val="20"/>
              </w:rPr>
              <w:t>00,000 or part</w:t>
            </w:r>
          </w:p>
        </w:tc>
        <w:tc>
          <w:tcPr>
            <w:tcW w:w="850" w:type="dxa"/>
            <w:shd w:val="clear" w:color="auto" w:fill="CFEBF7"/>
          </w:tcPr>
          <w:p w14:paraId="247D61F5" w14:textId="77777777" w:rsidR="00623FB7" w:rsidRPr="00C01126" w:rsidRDefault="00623FB7" w:rsidP="001D2073">
            <w:pPr>
              <w:pStyle w:val="TableParagraph"/>
              <w:ind w:left="0" w:right="229"/>
              <w:jc w:val="right"/>
              <w:rPr>
                <w:sz w:val="20"/>
                <w:szCs w:val="20"/>
              </w:rPr>
            </w:pPr>
            <w:r w:rsidRPr="00C01126">
              <w:rPr>
                <w:color w:val="231F20"/>
                <w:sz w:val="20"/>
                <w:szCs w:val="20"/>
              </w:rPr>
              <w:t>4.5%</w:t>
            </w:r>
          </w:p>
        </w:tc>
      </w:tr>
      <w:tr w:rsidR="00623FB7" w14:paraId="62E8A8B5" w14:textId="77777777" w:rsidTr="001D2073">
        <w:trPr>
          <w:trHeight w:hRule="exact" w:val="475"/>
        </w:trPr>
        <w:tc>
          <w:tcPr>
            <w:tcW w:w="4139" w:type="dxa"/>
            <w:shd w:val="clear" w:color="auto" w:fill="A0D9F0"/>
          </w:tcPr>
          <w:p w14:paraId="69A0370D" w14:textId="77777777" w:rsidR="00623FB7" w:rsidRPr="00C01126" w:rsidRDefault="00623FB7" w:rsidP="001D2073">
            <w:pPr>
              <w:pStyle w:val="TableParagraph"/>
              <w:ind w:right="68"/>
              <w:rPr>
                <w:sz w:val="20"/>
                <w:szCs w:val="20"/>
              </w:rPr>
            </w:pPr>
            <w:r w:rsidRPr="00C01126">
              <w:rPr>
                <w:color w:val="231F20"/>
                <w:sz w:val="20"/>
                <w:szCs w:val="20"/>
              </w:rPr>
              <w:t>On the next $200,000 or part</w:t>
            </w:r>
          </w:p>
        </w:tc>
        <w:tc>
          <w:tcPr>
            <w:tcW w:w="850" w:type="dxa"/>
            <w:shd w:val="clear" w:color="auto" w:fill="A0D9F0"/>
          </w:tcPr>
          <w:p w14:paraId="426CCC5B" w14:textId="77777777" w:rsidR="00623FB7" w:rsidRPr="00C01126" w:rsidRDefault="00623FB7" w:rsidP="001D2073">
            <w:pPr>
              <w:pStyle w:val="TableParagraph"/>
              <w:ind w:left="0" w:right="229"/>
              <w:jc w:val="right"/>
              <w:rPr>
                <w:sz w:val="20"/>
                <w:szCs w:val="20"/>
              </w:rPr>
            </w:pPr>
            <w:r w:rsidRPr="00C01126">
              <w:rPr>
                <w:color w:val="231F20"/>
                <w:sz w:val="20"/>
                <w:szCs w:val="20"/>
              </w:rPr>
              <w:t>3.5%</w:t>
            </w:r>
          </w:p>
        </w:tc>
      </w:tr>
      <w:tr w:rsidR="00623FB7" w14:paraId="01A402E1" w14:textId="77777777" w:rsidTr="001D2073">
        <w:trPr>
          <w:trHeight w:hRule="exact" w:val="475"/>
        </w:trPr>
        <w:tc>
          <w:tcPr>
            <w:tcW w:w="4139" w:type="dxa"/>
            <w:shd w:val="clear" w:color="auto" w:fill="CFEBF7"/>
          </w:tcPr>
          <w:p w14:paraId="129D05F1" w14:textId="77777777" w:rsidR="00623FB7" w:rsidRPr="00C01126" w:rsidRDefault="00623FB7" w:rsidP="001D2073">
            <w:pPr>
              <w:pStyle w:val="TableParagraph"/>
              <w:ind w:right="68"/>
              <w:rPr>
                <w:sz w:val="20"/>
                <w:szCs w:val="20"/>
              </w:rPr>
            </w:pPr>
            <w:r w:rsidRPr="00C01126">
              <w:rPr>
                <w:color w:val="231F20"/>
                <w:sz w:val="20"/>
                <w:szCs w:val="20"/>
              </w:rPr>
              <w:t>On the next $200,000 or part</w:t>
            </w:r>
          </w:p>
        </w:tc>
        <w:tc>
          <w:tcPr>
            <w:tcW w:w="850" w:type="dxa"/>
            <w:shd w:val="clear" w:color="auto" w:fill="CFEBF7"/>
          </w:tcPr>
          <w:p w14:paraId="2CF9AE64" w14:textId="77777777" w:rsidR="00623FB7" w:rsidRPr="00C01126" w:rsidRDefault="00623FB7" w:rsidP="001D2073">
            <w:pPr>
              <w:pStyle w:val="TableParagraph"/>
              <w:ind w:left="0" w:right="229"/>
              <w:jc w:val="right"/>
              <w:rPr>
                <w:sz w:val="20"/>
                <w:szCs w:val="20"/>
              </w:rPr>
            </w:pPr>
            <w:r w:rsidRPr="00C01126">
              <w:rPr>
                <w:color w:val="231F20"/>
                <w:sz w:val="20"/>
                <w:szCs w:val="20"/>
              </w:rPr>
              <w:t>2.5%</w:t>
            </w:r>
          </w:p>
        </w:tc>
      </w:tr>
      <w:tr w:rsidR="00623FB7" w14:paraId="7A5D42CC" w14:textId="77777777" w:rsidTr="001D2073">
        <w:trPr>
          <w:trHeight w:hRule="exact" w:val="475"/>
        </w:trPr>
        <w:tc>
          <w:tcPr>
            <w:tcW w:w="4139" w:type="dxa"/>
            <w:shd w:val="clear" w:color="auto" w:fill="A0D9F0"/>
          </w:tcPr>
          <w:p w14:paraId="0C0F2F55" w14:textId="77777777" w:rsidR="00623FB7" w:rsidRPr="00C01126" w:rsidRDefault="00672847" w:rsidP="001D2073">
            <w:pPr>
              <w:pStyle w:val="TableParagraph"/>
              <w:ind w:right="68"/>
              <w:rPr>
                <w:sz w:val="20"/>
                <w:szCs w:val="20"/>
              </w:rPr>
            </w:pPr>
            <w:r w:rsidRPr="00C01126">
              <w:rPr>
                <w:color w:val="231F20"/>
                <w:sz w:val="20"/>
                <w:szCs w:val="20"/>
              </w:rPr>
              <w:t>On amounts above $6</w:t>
            </w:r>
            <w:r w:rsidR="00623FB7" w:rsidRPr="00C01126">
              <w:rPr>
                <w:color w:val="231F20"/>
                <w:sz w:val="20"/>
                <w:szCs w:val="20"/>
              </w:rPr>
              <w:t>00,000</w:t>
            </w:r>
          </w:p>
        </w:tc>
        <w:tc>
          <w:tcPr>
            <w:tcW w:w="850" w:type="dxa"/>
            <w:shd w:val="clear" w:color="auto" w:fill="A0D9F0"/>
          </w:tcPr>
          <w:p w14:paraId="3D978F32" w14:textId="77777777" w:rsidR="00623FB7" w:rsidRPr="00C01126" w:rsidRDefault="00623FB7" w:rsidP="001D2073">
            <w:pPr>
              <w:pStyle w:val="TableParagraph"/>
              <w:ind w:left="0" w:right="229"/>
              <w:jc w:val="right"/>
              <w:rPr>
                <w:sz w:val="20"/>
                <w:szCs w:val="20"/>
              </w:rPr>
            </w:pPr>
            <w:r w:rsidRPr="00C01126">
              <w:rPr>
                <w:color w:val="231F20"/>
                <w:sz w:val="20"/>
                <w:szCs w:val="20"/>
              </w:rPr>
              <w:t>1.5%</w:t>
            </w:r>
          </w:p>
        </w:tc>
      </w:tr>
    </w:tbl>
    <w:p w14:paraId="66D87528" w14:textId="77777777" w:rsidR="0060190D" w:rsidRPr="003403A8" w:rsidRDefault="0060190D" w:rsidP="0060190D">
      <w:pPr>
        <w:ind w:left="102" w:right="6"/>
        <w:rPr>
          <w:color w:val="231F20"/>
          <w:spacing w:val="-3"/>
          <w:sz w:val="19"/>
          <w:szCs w:val="19"/>
        </w:rPr>
      </w:pPr>
      <w:r w:rsidRPr="003403A8">
        <w:rPr>
          <w:color w:val="231F20"/>
          <w:spacing w:val="-3"/>
          <w:sz w:val="19"/>
          <w:szCs w:val="19"/>
        </w:rPr>
        <w:t>A minimum fee will depend on the complexity of the estate and range from $1,500 to $4,500.</w:t>
      </w:r>
    </w:p>
    <w:p w14:paraId="04720E7B" w14:textId="77777777" w:rsidR="00153329" w:rsidRPr="00153329" w:rsidRDefault="00153329" w:rsidP="00E33F98">
      <w:pPr>
        <w:pStyle w:val="BodyText"/>
        <w:rPr>
          <w:color w:val="08BCE5"/>
        </w:rPr>
      </w:pPr>
    </w:p>
    <w:p w14:paraId="1A29B737" w14:textId="44AB8DF7" w:rsidR="003A5ED9" w:rsidRDefault="003A5ED9" w:rsidP="003A5ED9">
      <w:pPr>
        <w:spacing w:before="140"/>
        <w:ind w:left="102" w:right="6"/>
        <w:rPr>
          <w:color w:val="08BCE5"/>
          <w:sz w:val="26"/>
        </w:rPr>
      </w:pPr>
      <w:r>
        <w:rPr>
          <w:color w:val="08BCE5"/>
          <w:sz w:val="26"/>
        </w:rPr>
        <w:t xml:space="preserve">TO ACT AS AN ATTORNEY </w:t>
      </w:r>
    </w:p>
    <w:p w14:paraId="4D667E4A" w14:textId="77777777" w:rsidR="003A5ED9" w:rsidRPr="003403A8" w:rsidRDefault="003A5ED9" w:rsidP="003A5ED9">
      <w:pPr>
        <w:spacing w:before="20"/>
        <w:ind w:left="102" w:right="6"/>
        <w:rPr>
          <w:color w:val="231F20"/>
          <w:spacing w:val="-3"/>
          <w:sz w:val="19"/>
          <w:szCs w:val="19"/>
        </w:rPr>
      </w:pPr>
      <w:r w:rsidRPr="003403A8">
        <w:rPr>
          <w:color w:val="231F20"/>
          <w:spacing w:val="-3"/>
          <w:sz w:val="19"/>
          <w:szCs w:val="19"/>
        </w:rPr>
        <w:t xml:space="preserve">If the Public Trustee is acting as the attorney, a pro rata fee of $120 per hour will be charged. A time sheet is </w:t>
      </w:r>
      <w:proofErr w:type="gramStart"/>
      <w:r w:rsidRPr="003403A8">
        <w:rPr>
          <w:color w:val="231F20"/>
          <w:spacing w:val="-3"/>
          <w:sz w:val="19"/>
          <w:szCs w:val="19"/>
        </w:rPr>
        <w:t>kept</w:t>
      </w:r>
      <w:proofErr w:type="gramEnd"/>
      <w:r w:rsidRPr="003403A8">
        <w:rPr>
          <w:color w:val="231F20"/>
          <w:spacing w:val="-3"/>
          <w:sz w:val="19"/>
          <w:szCs w:val="19"/>
        </w:rPr>
        <w:t xml:space="preserve"> and fees will be charged quarterly. </w:t>
      </w:r>
    </w:p>
    <w:p w14:paraId="12DC4AAC" w14:textId="77777777" w:rsidR="00153329" w:rsidRPr="00153329" w:rsidRDefault="00153329" w:rsidP="00B30F78">
      <w:pPr>
        <w:pStyle w:val="BodyText"/>
      </w:pPr>
    </w:p>
    <w:p w14:paraId="7007B765" w14:textId="16108573" w:rsidR="003A5ED9" w:rsidRDefault="003A5ED9" w:rsidP="003A5ED9">
      <w:pPr>
        <w:spacing w:before="140"/>
        <w:ind w:left="102" w:right="6"/>
        <w:rPr>
          <w:sz w:val="26"/>
        </w:rPr>
      </w:pPr>
      <w:r>
        <w:rPr>
          <w:color w:val="08BCE5"/>
          <w:sz w:val="26"/>
        </w:rPr>
        <w:t>TO ACT AS FINANCIAL ADMINISTRATOR</w:t>
      </w:r>
    </w:p>
    <w:p w14:paraId="731387B6" w14:textId="0F3DFF53" w:rsidR="003A5ED9" w:rsidRPr="003403A8" w:rsidRDefault="003A5ED9" w:rsidP="003A5ED9">
      <w:pPr>
        <w:pStyle w:val="BodyText"/>
        <w:spacing w:before="20" w:line="283" w:lineRule="auto"/>
        <w:ind w:left="102" w:right="6"/>
        <w:rPr>
          <w:sz w:val="19"/>
          <w:szCs w:val="19"/>
        </w:rPr>
      </w:pPr>
      <w:r w:rsidRPr="003403A8">
        <w:rPr>
          <w:color w:val="231F20"/>
          <w:sz w:val="19"/>
          <w:szCs w:val="19"/>
        </w:rPr>
        <w:t xml:space="preserve">If </w:t>
      </w:r>
      <w:r w:rsidR="00153329" w:rsidRPr="003403A8">
        <w:rPr>
          <w:color w:val="231F20"/>
          <w:sz w:val="19"/>
          <w:szCs w:val="19"/>
        </w:rPr>
        <w:t xml:space="preserve">the </w:t>
      </w:r>
      <w:r w:rsidR="00153329" w:rsidRPr="003403A8">
        <w:rPr>
          <w:sz w:val="19"/>
          <w:szCs w:val="19"/>
        </w:rPr>
        <w:t xml:space="preserve">Tasmanian Civil and Administrative Tribunal (the Tribunal) </w:t>
      </w:r>
      <w:r w:rsidRPr="003403A8">
        <w:rPr>
          <w:color w:val="231F20"/>
          <w:spacing w:val="-4"/>
          <w:sz w:val="19"/>
          <w:szCs w:val="19"/>
        </w:rPr>
        <w:t xml:space="preserve">appoints the Public </w:t>
      </w:r>
      <w:r w:rsidRPr="003403A8">
        <w:rPr>
          <w:color w:val="231F20"/>
          <w:spacing w:val="-5"/>
          <w:sz w:val="19"/>
          <w:szCs w:val="19"/>
        </w:rPr>
        <w:t xml:space="preserve">Trustee </w:t>
      </w:r>
      <w:r w:rsidRPr="003403A8">
        <w:rPr>
          <w:color w:val="231F20"/>
          <w:sz w:val="19"/>
          <w:szCs w:val="19"/>
        </w:rPr>
        <w:t>as a</w:t>
      </w:r>
      <w:r w:rsidR="00975C84" w:rsidRPr="003403A8">
        <w:rPr>
          <w:color w:val="231F20"/>
          <w:sz w:val="19"/>
          <w:szCs w:val="19"/>
        </w:rPr>
        <w:t xml:space="preserve">n </w:t>
      </w:r>
      <w:r w:rsidRPr="003403A8">
        <w:rPr>
          <w:color w:val="231F20"/>
          <w:spacing w:val="-6"/>
          <w:sz w:val="19"/>
          <w:szCs w:val="19"/>
        </w:rPr>
        <w:t xml:space="preserve">Administrator, </w:t>
      </w:r>
      <w:r w:rsidRPr="003403A8">
        <w:rPr>
          <w:color w:val="231F20"/>
          <w:spacing w:val="-3"/>
          <w:sz w:val="19"/>
          <w:szCs w:val="19"/>
        </w:rPr>
        <w:t xml:space="preserve">the </w:t>
      </w:r>
      <w:r w:rsidRPr="003403A8">
        <w:rPr>
          <w:color w:val="231F20"/>
          <w:spacing w:val="-4"/>
          <w:sz w:val="19"/>
          <w:szCs w:val="19"/>
        </w:rPr>
        <w:t xml:space="preserve">following </w:t>
      </w:r>
      <w:r w:rsidRPr="003403A8">
        <w:rPr>
          <w:color w:val="231F20"/>
          <w:spacing w:val="-3"/>
          <w:sz w:val="19"/>
          <w:szCs w:val="19"/>
        </w:rPr>
        <w:t xml:space="preserve">fees may be </w:t>
      </w:r>
      <w:r w:rsidRPr="003403A8">
        <w:rPr>
          <w:color w:val="231F20"/>
          <w:spacing w:val="-4"/>
          <w:sz w:val="19"/>
          <w:szCs w:val="19"/>
        </w:rPr>
        <w:t>charged:</w:t>
      </w:r>
    </w:p>
    <w:p w14:paraId="5F32286A" w14:textId="20902D57" w:rsidR="005555BF" w:rsidRPr="003403A8" w:rsidRDefault="005555BF" w:rsidP="00604708">
      <w:pPr>
        <w:pStyle w:val="ListParagraph"/>
        <w:numPr>
          <w:ilvl w:val="0"/>
          <w:numId w:val="1"/>
        </w:numPr>
        <w:tabs>
          <w:tab w:val="left" w:pos="348"/>
        </w:tabs>
        <w:spacing w:before="0" w:line="283" w:lineRule="auto"/>
        <w:ind w:left="329"/>
        <w:rPr>
          <w:color w:val="231F20"/>
          <w:spacing w:val="-4"/>
          <w:sz w:val="19"/>
          <w:szCs w:val="19"/>
        </w:rPr>
      </w:pPr>
      <w:r w:rsidRPr="003403A8">
        <w:rPr>
          <w:color w:val="231F20"/>
          <w:spacing w:val="-4"/>
          <w:sz w:val="19"/>
          <w:szCs w:val="19"/>
        </w:rPr>
        <w:t xml:space="preserve">$601 one-off establishment </w:t>
      </w:r>
      <w:proofErr w:type="gramStart"/>
      <w:r w:rsidRPr="003403A8">
        <w:rPr>
          <w:color w:val="231F20"/>
          <w:spacing w:val="-4"/>
          <w:sz w:val="19"/>
          <w:szCs w:val="19"/>
        </w:rPr>
        <w:t>fee;</w:t>
      </w:r>
      <w:proofErr w:type="gramEnd"/>
    </w:p>
    <w:p w14:paraId="22456518" w14:textId="275C9C98" w:rsidR="005555BF" w:rsidRPr="003403A8" w:rsidRDefault="005555BF" w:rsidP="00604708">
      <w:pPr>
        <w:pStyle w:val="ListParagraph"/>
        <w:numPr>
          <w:ilvl w:val="0"/>
          <w:numId w:val="1"/>
        </w:numPr>
        <w:tabs>
          <w:tab w:val="left" w:pos="348"/>
        </w:tabs>
        <w:spacing w:before="0" w:line="283" w:lineRule="auto"/>
        <w:ind w:left="329"/>
        <w:rPr>
          <w:color w:val="231F20"/>
          <w:spacing w:val="-4"/>
          <w:sz w:val="19"/>
          <w:szCs w:val="19"/>
        </w:rPr>
      </w:pPr>
      <w:r w:rsidRPr="003403A8">
        <w:rPr>
          <w:color w:val="231F20"/>
          <w:spacing w:val="-4"/>
          <w:sz w:val="19"/>
          <w:szCs w:val="19"/>
        </w:rPr>
        <w:t>$65 fee for completing the annual report required by the Tribunal: and</w:t>
      </w:r>
    </w:p>
    <w:p w14:paraId="5B44037D" w14:textId="67974A07" w:rsidR="005555BF" w:rsidRPr="003403A8" w:rsidRDefault="005555BF" w:rsidP="00604708">
      <w:pPr>
        <w:pStyle w:val="ListParagraph"/>
        <w:numPr>
          <w:ilvl w:val="0"/>
          <w:numId w:val="1"/>
        </w:numPr>
        <w:tabs>
          <w:tab w:val="left" w:pos="348"/>
        </w:tabs>
        <w:spacing w:before="0" w:line="283" w:lineRule="auto"/>
        <w:ind w:left="329"/>
        <w:rPr>
          <w:color w:val="231F20"/>
          <w:spacing w:val="-4"/>
          <w:sz w:val="19"/>
          <w:szCs w:val="19"/>
        </w:rPr>
      </w:pPr>
      <w:r w:rsidRPr="003403A8">
        <w:rPr>
          <w:color w:val="231F20"/>
          <w:spacing w:val="-4"/>
          <w:sz w:val="19"/>
          <w:szCs w:val="19"/>
        </w:rPr>
        <w:t xml:space="preserve">$150 fee for completing the 3 </w:t>
      </w:r>
      <w:proofErr w:type="gramStart"/>
      <w:r w:rsidRPr="003403A8">
        <w:rPr>
          <w:color w:val="231F20"/>
          <w:spacing w:val="-4"/>
          <w:sz w:val="19"/>
          <w:szCs w:val="19"/>
        </w:rPr>
        <w:t>yearly  review</w:t>
      </w:r>
      <w:proofErr w:type="gramEnd"/>
      <w:r w:rsidRPr="003403A8">
        <w:rPr>
          <w:color w:val="231F20"/>
          <w:spacing w:val="-4"/>
          <w:sz w:val="19"/>
          <w:szCs w:val="19"/>
        </w:rPr>
        <w:t xml:space="preserve"> and report required by the Tribunal.</w:t>
      </w:r>
    </w:p>
    <w:p w14:paraId="1AE64412" w14:textId="77777777" w:rsidR="005555BF" w:rsidRPr="003403A8" w:rsidRDefault="005555BF" w:rsidP="00604708">
      <w:pPr>
        <w:pStyle w:val="ListParagraph"/>
        <w:numPr>
          <w:ilvl w:val="0"/>
          <w:numId w:val="1"/>
        </w:numPr>
        <w:tabs>
          <w:tab w:val="left" w:pos="348"/>
        </w:tabs>
        <w:spacing w:before="0" w:line="283" w:lineRule="auto"/>
        <w:ind w:left="329"/>
        <w:rPr>
          <w:color w:val="231F20"/>
          <w:spacing w:val="-4"/>
          <w:sz w:val="19"/>
          <w:szCs w:val="19"/>
        </w:rPr>
      </w:pPr>
      <w:r w:rsidRPr="003403A8">
        <w:rPr>
          <w:color w:val="231F20"/>
          <w:spacing w:val="-4"/>
          <w:sz w:val="19"/>
          <w:szCs w:val="19"/>
        </w:rPr>
        <w:t xml:space="preserve">$13.50 account keeping fee per </w:t>
      </w:r>
      <w:proofErr w:type="gramStart"/>
      <w:r w:rsidRPr="003403A8">
        <w:rPr>
          <w:color w:val="231F20"/>
          <w:spacing w:val="-4"/>
          <w:sz w:val="19"/>
          <w:szCs w:val="19"/>
        </w:rPr>
        <w:t>month;</w:t>
      </w:r>
      <w:proofErr w:type="gramEnd"/>
    </w:p>
    <w:p w14:paraId="733BAB04" w14:textId="2F6B3D81" w:rsidR="005555BF" w:rsidRPr="003403A8" w:rsidRDefault="005555BF" w:rsidP="00604708">
      <w:pPr>
        <w:pStyle w:val="ListParagraph"/>
        <w:numPr>
          <w:ilvl w:val="0"/>
          <w:numId w:val="1"/>
        </w:numPr>
        <w:tabs>
          <w:tab w:val="left" w:pos="348"/>
        </w:tabs>
        <w:spacing w:before="0" w:line="283" w:lineRule="auto"/>
        <w:ind w:left="329"/>
        <w:rPr>
          <w:color w:val="231F20"/>
          <w:spacing w:val="-4"/>
          <w:sz w:val="19"/>
          <w:szCs w:val="19"/>
        </w:rPr>
      </w:pPr>
      <w:r w:rsidRPr="003403A8">
        <w:rPr>
          <w:color w:val="231F20"/>
          <w:spacing w:val="-4"/>
          <w:sz w:val="19"/>
          <w:szCs w:val="19"/>
        </w:rPr>
        <w:t xml:space="preserve">a fee on any assets </w:t>
      </w:r>
      <w:proofErr w:type="spellStart"/>
      <w:r w:rsidRPr="003403A8">
        <w:rPr>
          <w:color w:val="231F20"/>
          <w:spacing w:val="-4"/>
          <w:sz w:val="19"/>
          <w:szCs w:val="19"/>
        </w:rPr>
        <w:t>realised</w:t>
      </w:r>
      <w:proofErr w:type="spellEnd"/>
      <w:r w:rsidRPr="003403A8">
        <w:rPr>
          <w:color w:val="231F20"/>
          <w:spacing w:val="-4"/>
          <w:sz w:val="19"/>
          <w:szCs w:val="19"/>
        </w:rPr>
        <w:t xml:space="preserve"> during the financial administration (</w:t>
      </w:r>
      <w:proofErr w:type="spellStart"/>
      <w:r w:rsidRPr="003403A8">
        <w:rPr>
          <w:color w:val="231F20"/>
          <w:spacing w:val="-4"/>
          <w:sz w:val="19"/>
          <w:szCs w:val="19"/>
        </w:rPr>
        <w:t>eg</w:t>
      </w:r>
      <w:proofErr w:type="spellEnd"/>
      <w:r w:rsidRPr="003403A8">
        <w:rPr>
          <w:color w:val="231F20"/>
          <w:spacing w:val="-4"/>
          <w:sz w:val="19"/>
          <w:szCs w:val="19"/>
        </w:rPr>
        <w:t xml:space="preserve"> collection of bank </w:t>
      </w:r>
      <w:proofErr w:type="gramStart"/>
      <w:r w:rsidRPr="003403A8">
        <w:rPr>
          <w:color w:val="231F20"/>
          <w:spacing w:val="-4"/>
          <w:sz w:val="19"/>
          <w:szCs w:val="19"/>
        </w:rPr>
        <w:t>account</w:t>
      </w:r>
      <w:proofErr w:type="gramEnd"/>
      <w:r w:rsidRPr="003403A8">
        <w:rPr>
          <w:color w:val="231F20"/>
          <w:spacing w:val="-4"/>
          <w:sz w:val="19"/>
          <w:szCs w:val="19"/>
        </w:rPr>
        <w:t xml:space="preserve">, property sale) is charged at the same rate as administering an estate; and  </w:t>
      </w:r>
    </w:p>
    <w:p w14:paraId="7E26BD47" w14:textId="555C4E13" w:rsidR="005555BF" w:rsidRPr="003403A8" w:rsidRDefault="005555BF" w:rsidP="00604708">
      <w:pPr>
        <w:pStyle w:val="ListParagraph"/>
        <w:numPr>
          <w:ilvl w:val="0"/>
          <w:numId w:val="1"/>
        </w:numPr>
        <w:tabs>
          <w:tab w:val="left" w:pos="348"/>
        </w:tabs>
        <w:spacing w:before="0" w:line="283" w:lineRule="auto"/>
        <w:ind w:left="329"/>
        <w:rPr>
          <w:color w:val="231F20"/>
          <w:spacing w:val="-4"/>
          <w:sz w:val="19"/>
          <w:szCs w:val="19"/>
        </w:rPr>
      </w:pPr>
      <w:r w:rsidRPr="003403A8">
        <w:rPr>
          <w:color w:val="231F20"/>
          <w:spacing w:val="-4"/>
          <w:sz w:val="19"/>
          <w:szCs w:val="19"/>
        </w:rPr>
        <w:t xml:space="preserve">When the administration ends, a commission of 2.2% is taken on the current value of the assets which have not been </w:t>
      </w:r>
      <w:proofErr w:type="spellStart"/>
      <w:r w:rsidRPr="003403A8">
        <w:rPr>
          <w:color w:val="231F20"/>
          <w:spacing w:val="-4"/>
          <w:sz w:val="19"/>
          <w:szCs w:val="19"/>
        </w:rPr>
        <w:t>realised</w:t>
      </w:r>
      <w:proofErr w:type="spellEnd"/>
      <w:r w:rsidRPr="003403A8">
        <w:rPr>
          <w:color w:val="231F20"/>
          <w:spacing w:val="-4"/>
          <w:sz w:val="19"/>
          <w:szCs w:val="19"/>
        </w:rPr>
        <w:t xml:space="preserve"> during the administration</w:t>
      </w:r>
      <w:r w:rsidR="0061240A" w:rsidRPr="003403A8">
        <w:rPr>
          <w:color w:val="231F20"/>
          <w:spacing w:val="-4"/>
          <w:sz w:val="19"/>
          <w:szCs w:val="19"/>
        </w:rPr>
        <w:t xml:space="preserve">. </w:t>
      </w:r>
    </w:p>
    <w:p w14:paraId="183F7561" w14:textId="77777777" w:rsidR="005555BF" w:rsidRPr="003403A8" w:rsidRDefault="005555BF" w:rsidP="00604708">
      <w:pPr>
        <w:pStyle w:val="ListParagraph"/>
        <w:numPr>
          <w:ilvl w:val="0"/>
          <w:numId w:val="1"/>
        </w:numPr>
        <w:tabs>
          <w:tab w:val="left" w:pos="348"/>
        </w:tabs>
        <w:spacing w:before="0" w:line="283" w:lineRule="auto"/>
        <w:ind w:left="329"/>
        <w:rPr>
          <w:color w:val="231F20"/>
          <w:spacing w:val="-4"/>
          <w:sz w:val="19"/>
          <w:szCs w:val="19"/>
        </w:rPr>
      </w:pPr>
      <w:r w:rsidRPr="003403A8">
        <w:rPr>
          <w:color w:val="231F20"/>
          <w:spacing w:val="-4"/>
          <w:sz w:val="19"/>
          <w:szCs w:val="19"/>
        </w:rPr>
        <w:t>If you have less than $100,000 in assets, the Public Trustee offers lower fees, and the fees are reduced again if you have under $10,000 in assets.</w:t>
      </w:r>
    </w:p>
    <w:p w14:paraId="35B8D168" w14:textId="77777777" w:rsidR="003403A8" w:rsidRDefault="003403A8" w:rsidP="003403A8">
      <w:pPr>
        <w:pStyle w:val="BodyText"/>
        <w:ind w:left="142"/>
        <w:rPr>
          <w:i/>
          <w:color w:val="231F20"/>
          <w:spacing w:val="-3"/>
          <w:sz w:val="14"/>
          <w:szCs w:val="14"/>
        </w:rPr>
      </w:pPr>
    </w:p>
    <w:p w14:paraId="3C1CD447" w14:textId="77777777" w:rsidR="003403A8" w:rsidRDefault="003403A8" w:rsidP="003403A8">
      <w:pPr>
        <w:pStyle w:val="BodyText"/>
        <w:ind w:left="142"/>
        <w:rPr>
          <w:i/>
          <w:color w:val="231F20"/>
          <w:spacing w:val="-3"/>
          <w:sz w:val="14"/>
          <w:szCs w:val="14"/>
        </w:rPr>
      </w:pPr>
    </w:p>
    <w:p w14:paraId="20264A88" w14:textId="0E465AFA" w:rsidR="003403A8" w:rsidRDefault="003403A8" w:rsidP="003403A8">
      <w:pPr>
        <w:pStyle w:val="BodyText"/>
        <w:ind w:left="142"/>
        <w:rPr>
          <w:i/>
          <w:color w:val="231F20"/>
          <w:spacing w:val="-3"/>
          <w:sz w:val="14"/>
          <w:szCs w:val="14"/>
        </w:rPr>
      </w:pPr>
      <w:r w:rsidRPr="00C9623B">
        <w:rPr>
          <w:i/>
          <w:color w:val="231F20"/>
          <w:spacing w:val="-3"/>
          <w:sz w:val="14"/>
          <w:szCs w:val="14"/>
        </w:rPr>
        <w:t xml:space="preserve">All fees and charges quoted are inclusive of GST and are current at the date of printing. Please check with the Public Trustee staff </w:t>
      </w:r>
      <w:proofErr w:type="gramStart"/>
      <w:r w:rsidRPr="00C9623B">
        <w:rPr>
          <w:i/>
          <w:color w:val="231F20"/>
          <w:spacing w:val="-3"/>
          <w:sz w:val="14"/>
          <w:szCs w:val="14"/>
        </w:rPr>
        <w:t>or</w:t>
      </w:r>
      <w:proofErr w:type="gramEnd"/>
      <w:r w:rsidRPr="00C9623B">
        <w:rPr>
          <w:i/>
          <w:color w:val="231F20"/>
          <w:spacing w:val="-3"/>
          <w:sz w:val="14"/>
          <w:szCs w:val="14"/>
        </w:rPr>
        <w:t xml:space="preserve"> </w:t>
      </w:r>
      <w:r>
        <w:rPr>
          <w:i/>
          <w:color w:val="231F20"/>
          <w:spacing w:val="-3"/>
          <w:sz w:val="14"/>
          <w:szCs w:val="14"/>
        </w:rPr>
        <w:t xml:space="preserve">our </w:t>
      </w:r>
      <w:r w:rsidRPr="00C9623B">
        <w:rPr>
          <w:i/>
          <w:color w:val="231F20"/>
          <w:spacing w:val="-3"/>
          <w:sz w:val="14"/>
          <w:szCs w:val="14"/>
        </w:rPr>
        <w:t>website to ensure you are aware of the latest fees and charges.</w:t>
      </w:r>
    </w:p>
    <w:p w14:paraId="78060FD4" w14:textId="77777777" w:rsidR="003403A8" w:rsidRPr="00C9623B" w:rsidRDefault="003403A8" w:rsidP="003403A8">
      <w:pPr>
        <w:pStyle w:val="BodyText"/>
        <w:ind w:left="142"/>
        <w:rPr>
          <w:i/>
          <w:color w:val="231F20"/>
          <w:spacing w:val="-3"/>
          <w:sz w:val="14"/>
          <w:szCs w:val="14"/>
        </w:rPr>
      </w:pPr>
    </w:p>
    <w:p w14:paraId="1B9A42B6" w14:textId="2D0565D3" w:rsidR="003403A8" w:rsidRPr="00C9623B" w:rsidRDefault="003403A8" w:rsidP="003403A8">
      <w:pPr>
        <w:pStyle w:val="BodyText"/>
        <w:ind w:left="142"/>
        <w:rPr>
          <w:i/>
          <w:color w:val="231F20"/>
          <w:spacing w:val="-3"/>
          <w:sz w:val="14"/>
          <w:szCs w:val="14"/>
        </w:rPr>
      </w:pPr>
      <w:proofErr w:type="gramStart"/>
      <w:r w:rsidRPr="00DC001D">
        <w:rPr>
          <w:i/>
          <w:color w:val="231F20"/>
          <w:spacing w:val="-3"/>
          <w:sz w:val="14"/>
          <w:szCs w:val="14"/>
        </w:rPr>
        <w:t>Current</w:t>
      </w:r>
      <w:proofErr w:type="gramEnd"/>
      <w:r w:rsidRPr="00DC001D">
        <w:rPr>
          <w:i/>
          <w:color w:val="231F20"/>
          <w:spacing w:val="-3"/>
          <w:sz w:val="14"/>
          <w:szCs w:val="14"/>
        </w:rPr>
        <w:t xml:space="preserve"> </w:t>
      </w:r>
      <w:proofErr w:type="gramStart"/>
      <w:r w:rsidRPr="00DC001D">
        <w:rPr>
          <w:i/>
          <w:color w:val="231F20"/>
          <w:spacing w:val="-3"/>
          <w:sz w:val="14"/>
          <w:szCs w:val="14"/>
        </w:rPr>
        <w:t>at</w:t>
      </w:r>
      <w:proofErr w:type="gramEnd"/>
      <w:r w:rsidRPr="00DC001D">
        <w:rPr>
          <w:i/>
          <w:color w:val="231F20"/>
          <w:spacing w:val="-3"/>
          <w:sz w:val="14"/>
          <w:szCs w:val="14"/>
        </w:rPr>
        <w:t xml:space="preserve"> </w:t>
      </w:r>
      <w:r w:rsidR="004B20D7">
        <w:rPr>
          <w:i/>
          <w:color w:val="231F20"/>
          <w:spacing w:val="-3"/>
          <w:sz w:val="14"/>
          <w:szCs w:val="14"/>
        </w:rPr>
        <w:t>17</w:t>
      </w:r>
      <w:r w:rsidRPr="00DD2925">
        <w:rPr>
          <w:i/>
          <w:color w:val="231F20"/>
          <w:spacing w:val="-3"/>
          <w:sz w:val="14"/>
          <w:szCs w:val="14"/>
        </w:rPr>
        <w:t xml:space="preserve"> </w:t>
      </w:r>
      <w:r w:rsidR="004B20D7">
        <w:rPr>
          <w:i/>
          <w:color w:val="231F20"/>
          <w:spacing w:val="-3"/>
          <w:sz w:val="14"/>
          <w:szCs w:val="14"/>
        </w:rPr>
        <w:t>July</w:t>
      </w:r>
      <w:r w:rsidRPr="00DC001D">
        <w:rPr>
          <w:i/>
          <w:color w:val="231F20"/>
          <w:spacing w:val="-3"/>
          <w:sz w:val="14"/>
          <w:szCs w:val="14"/>
        </w:rPr>
        <w:t xml:space="preserve"> 2025.</w:t>
      </w:r>
    </w:p>
    <w:p w14:paraId="37DB8FF7" w14:textId="09420BB8" w:rsidR="005555BF" w:rsidRPr="003403A8" w:rsidRDefault="005555BF" w:rsidP="003403A8">
      <w:pPr>
        <w:pStyle w:val="Heading1"/>
        <w:spacing w:before="0"/>
        <w:ind w:left="102" w:right="6"/>
        <w:rPr>
          <w:color w:val="08BCE5"/>
        </w:rPr>
      </w:pPr>
      <w:r>
        <w:rPr>
          <w:color w:val="08BCE5"/>
        </w:rPr>
        <w:t>INCOME COMMISSION</w:t>
      </w:r>
    </w:p>
    <w:p w14:paraId="7D2ED2F7" w14:textId="77777777" w:rsidR="005555BF" w:rsidRPr="003403A8" w:rsidRDefault="005555BF" w:rsidP="005555BF">
      <w:pPr>
        <w:pStyle w:val="ListParagraph"/>
        <w:numPr>
          <w:ilvl w:val="0"/>
          <w:numId w:val="2"/>
        </w:numPr>
        <w:tabs>
          <w:tab w:val="left" w:pos="328"/>
        </w:tabs>
        <w:spacing w:before="0" w:line="283" w:lineRule="auto"/>
        <w:ind w:left="329" w:right="27"/>
        <w:rPr>
          <w:color w:val="231F20"/>
          <w:sz w:val="19"/>
          <w:szCs w:val="19"/>
        </w:rPr>
      </w:pPr>
      <w:r w:rsidRPr="003403A8">
        <w:rPr>
          <w:color w:val="231F20"/>
          <w:sz w:val="19"/>
          <w:szCs w:val="19"/>
        </w:rPr>
        <w:t xml:space="preserve">The Public Trustee charges 6.6% commission on the receipt of all income such as interest, dividends, pensions and rental income (where the Public Trustee is managing the property).  </w:t>
      </w:r>
    </w:p>
    <w:p w14:paraId="08603E94" w14:textId="77777777" w:rsidR="005555BF" w:rsidRPr="003403A8" w:rsidRDefault="005555BF" w:rsidP="005555BF">
      <w:pPr>
        <w:pStyle w:val="ListParagraph"/>
        <w:numPr>
          <w:ilvl w:val="0"/>
          <w:numId w:val="2"/>
        </w:numPr>
        <w:tabs>
          <w:tab w:val="left" w:pos="328"/>
        </w:tabs>
        <w:spacing w:before="0" w:line="283" w:lineRule="auto"/>
        <w:ind w:left="329" w:right="27"/>
        <w:rPr>
          <w:color w:val="231F20"/>
          <w:sz w:val="19"/>
          <w:szCs w:val="19"/>
        </w:rPr>
      </w:pPr>
      <w:r w:rsidRPr="003403A8">
        <w:rPr>
          <w:color w:val="231F20"/>
          <w:sz w:val="19"/>
          <w:szCs w:val="19"/>
        </w:rPr>
        <w:t>3.3% commission is charged on rental income where the Public Trustee is not managing the property.</w:t>
      </w:r>
    </w:p>
    <w:p w14:paraId="341E1161" w14:textId="083E2EE2" w:rsidR="008E0A5A" w:rsidRPr="00B87794" w:rsidRDefault="00F479B2" w:rsidP="0061240A">
      <w:pPr>
        <w:pStyle w:val="Heading1"/>
        <w:spacing w:before="140"/>
        <w:ind w:left="102" w:right="6"/>
        <w:rPr>
          <w:color w:val="08BCE5"/>
        </w:rPr>
      </w:pPr>
      <w:r>
        <w:rPr>
          <w:color w:val="08BCE5"/>
        </w:rPr>
        <w:t>I</w:t>
      </w:r>
      <w:r w:rsidR="00F175A9" w:rsidRPr="00B87794">
        <w:rPr>
          <w:color w:val="08BCE5"/>
        </w:rPr>
        <w:t>NVESTMENT MANAGEMENT FEE</w:t>
      </w:r>
    </w:p>
    <w:p w14:paraId="3D597062" w14:textId="715A7ABE" w:rsidR="005651DB" w:rsidRPr="003403A8" w:rsidRDefault="00B30F78" w:rsidP="00590034">
      <w:pPr>
        <w:pStyle w:val="ListParagraph"/>
        <w:numPr>
          <w:ilvl w:val="0"/>
          <w:numId w:val="1"/>
        </w:numPr>
        <w:tabs>
          <w:tab w:val="left" w:pos="328"/>
        </w:tabs>
        <w:spacing w:before="20" w:line="283" w:lineRule="auto"/>
        <w:ind w:left="329" w:right="28"/>
        <w:rPr>
          <w:color w:val="231F20"/>
          <w:sz w:val="19"/>
          <w:szCs w:val="19"/>
        </w:rPr>
      </w:pPr>
      <w:r w:rsidRPr="003403A8">
        <w:rPr>
          <w:color w:val="231F20"/>
          <w:sz w:val="19"/>
          <w:szCs w:val="19"/>
        </w:rPr>
        <w:t>A 1.1%</w:t>
      </w:r>
      <w:r w:rsidR="00F24BFC" w:rsidRPr="003403A8">
        <w:rPr>
          <w:color w:val="231F20"/>
          <w:sz w:val="19"/>
          <w:szCs w:val="19"/>
        </w:rPr>
        <w:t xml:space="preserve"> per annum</w:t>
      </w:r>
      <w:r w:rsidRPr="003403A8">
        <w:rPr>
          <w:color w:val="231F20"/>
          <w:sz w:val="19"/>
          <w:szCs w:val="19"/>
        </w:rPr>
        <w:t xml:space="preserve"> fee is charged on funds invested in our Common Fund or Group Investment Fund. </w:t>
      </w:r>
      <w:r w:rsidR="005651DB" w:rsidRPr="003403A8">
        <w:rPr>
          <w:color w:val="231F20"/>
          <w:sz w:val="19"/>
          <w:szCs w:val="19"/>
        </w:rPr>
        <w:t xml:space="preserve">This fee is deducted from your gross earnings before any distributions are made to your account. </w:t>
      </w:r>
    </w:p>
    <w:p w14:paraId="52A937C1" w14:textId="77777777" w:rsidR="00B27DAE" w:rsidRPr="00B30F78" w:rsidRDefault="00B27DAE" w:rsidP="00B30F78">
      <w:pPr>
        <w:pStyle w:val="BodyText"/>
      </w:pPr>
    </w:p>
    <w:p w14:paraId="40CCCED1" w14:textId="77777777" w:rsidR="00B27DAE" w:rsidRPr="00B30F78" w:rsidRDefault="00F175A9" w:rsidP="00B30F78">
      <w:pPr>
        <w:pStyle w:val="BodyText"/>
        <w:ind w:left="102" w:right="108"/>
        <w:rPr>
          <w:color w:val="08BCE5"/>
          <w:sz w:val="26"/>
          <w:szCs w:val="26"/>
        </w:rPr>
      </w:pPr>
      <w:r w:rsidRPr="00B30F78">
        <w:rPr>
          <w:color w:val="08BCE5"/>
          <w:sz w:val="26"/>
          <w:szCs w:val="26"/>
        </w:rPr>
        <w:t xml:space="preserve">THE FOLLOWING </w:t>
      </w:r>
      <w:r w:rsidR="00B27DAE" w:rsidRPr="00B30F78">
        <w:rPr>
          <w:color w:val="08BCE5"/>
          <w:sz w:val="26"/>
          <w:szCs w:val="26"/>
        </w:rPr>
        <w:t>F</w:t>
      </w:r>
      <w:r w:rsidRPr="00B30F78">
        <w:rPr>
          <w:color w:val="08BCE5"/>
          <w:sz w:val="26"/>
          <w:szCs w:val="26"/>
        </w:rPr>
        <w:t xml:space="preserve">EES </w:t>
      </w:r>
      <w:r w:rsidR="00D02AF3" w:rsidRPr="00B30F78">
        <w:rPr>
          <w:color w:val="08BCE5"/>
          <w:sz w:val="26"/>
          <w:szCs w:val="26"/>
        </w:rPr>
        <w:t>AND</w:t>
      </w:r>
      <w:r w:rsidR="00B27DAE" w:rsidRPr="00B30F78">
        <w:rPr>
          <w:color w:val="08BCE5"/>
          <w:sz w:val="26"/>
          <w:szCs w:val="26"/>
        </w:rPr>
        <w:t xml:space="preserve"> </w:t>
      </w:r>
      <w:r w:rsidR="00D02AF3" w:rsidRPr="00B30F78">
        <w:rPr>
          <w:color w:val="08BCE5"/>
          <w:sz w:val="26"/>
          <w:szCs w:val="26"/>
        </w:rPr>
        <w:t>C</w:t>
      </w:r>
      <w:r w:rsidRPr="00B30F78">
        <w:rPr>
          <w:color w:val="08BCE5"/>
          <w:sz w:val="26"/>
          <w:szCs w:val="26"/>
        </w:rPr>
        <w:t xml:space="preserve">HARGES </w:t>
      </w:r>
    </w:p>
    <w:p w14:paraId="0C26F5DB" w14:textId="77777777" w:rsidR="008E0A5A" w:rsidRPr="00B30F78" w:rsidRDefault="00F175A9" w:rsidP="00B30F78">
      <w:pPr>
        <w:pStyle w:val="BodyText"/>
        <w:ind w:left="102" w:right="108"/>
        <w:rPr>
          <w:color w:val="08BCE5"/>
          <w:sz w:val="26"/>
          <w:szCs w:val="26"/>
        </w:rPr>
      </w:pPr>
      <w:r w:rsidRPr="00B30F78">
        <w:rPr>
          <w:color w:val="08BCE5"/>
          <w:sz w:val="26"/>
          <w:szCs w:val="26"/>
        </w:rPr>
        <w:t>MAY APPLY:</w:t>
      </w:r>
    </w:p>
    <w:p w14:paraId="4DB28270" w14:textId="77777777" w:rsidR="008E0A5A" w:rsidRPr="003403A8" w:rsidRDefault="00F175A9" w:rsidP="00B27DAE">
      <w:pPr>
        <w:pStyle w:val="ListParagraph"/>
        <w:numPr>
          <w:ilvl w:val="0"/>
          <w:numId w:val="1"/>
        </w:numPr>
        <w:tabs>
          <w:tab w:val="left" w:pos="328"/>
        </w:tabs>
        <w:spacing w:before="0"/>
        <w:ind w:left="329"/>
        <w:rPr>
          <w:sz w:val="19"/>
          <w:szCs w:val="19"/>
        </w:rPr>
      </w:pPr>
      <w:r w:rsidRPr="003403A8">
        <w:rPr>
          <w:color w:val="231F20"/>
          <w:spacing w:val="-4"/>
          <w:sz w:val="19"/>
          <w:szCs w:val="19"/>
        </w:rPr>
        <w:t xml:space="preserve">account </w:t>
      </w:r>
      <w:r w:rsidR="00D222D1" w:rsidRPr="003403A8">
        <w:rPr>
          <w:color w:val="231F20"/>
          <w:spacing w:val="-4"/>
          <w:sz w:val="19"/>
          <w:szCs w:val="19"/>
        </w:rPr>
        <w:t xml:space="preserve">keeping </w:t>
      </w:r>
      <w:r w:rsidRPr="003403A8">
        <w:rPr>
          <w:color w:val="231F20"/>
          <w:spacing w:val="-3"/>
          <w:sz w:val="19"/>
          <w:szCs w:val="19"/>
        </w:rPr>
        <w:t xml:space="preserve">fee </w:t>
      </w:r>
      <w:r w:rsidRPr="003403A8">
        <w:rPr>
          <w:color w:val="231F20"/>
          <w:spacing w:val="-4"/>
          <w:sz w:val="19"/>
          <w:szCs w:val="19"/>
        </w:rPr>
        <w:t xml:space="preserve">($13.50 </w:t>
      </w:r>
      <w:r w:rsidRPr="003403A8">
        <w:rPr>
          <w:color w:val="231F20"/>
          <w:spacing w:val="-3"/>
          <w:sz w:val="19"/>
          <w:szCs w:val="19"/>
        </w:rPr>
        <w:t>per</w:t>
      </w:r>
      <w:r w:rsidRPr="003403A8">
        <w:rPr>
          <w:color w:val="231F20"/>
          <w:spacing w:val="-10"/>
          <w:sz w:val="19"/>
          <w:szCs w:val="19"/>
        </w:rPr>
        <w:t xml:space="preserve"> </w:t>
      </w:r>
      <w:r w:rsidRPr="003403A8">
        <w:rPr>
          <w:color w:val="231F20"/>
          <w:spacing w:val="-4"/>
          <w:sz w:val="19"/>
          <w:szCs w:val="19"/>
        </w:rPr>
        <w:t>month</w:t>
      </w:r>
      <w:proofErr w:type="gramStart"/>
      <w:r w:rsidRPr="003403A8">
        <w:rPr>
          <w:color w:val="231F20"/>
          <w:spacing w:val="-4"/>
          <w:sz w:val="19"/>
          <w:szCs w:val="19"/>
        </w:rPr>
        <w:t>)</w:t>
      </w:r>
      <w:r w:rsidR="00D222D1" w:rsidRPr="003403A8">
        <w:rPr>
          <w:color w:val="231F20"/>
          <w:spacing w:val="-4"/>
          <w:sz w:val="19"/>
          <w:szCs w:val="19"/>
        </w:rPr>
        <w:t>;</w:t>
      </w:r>
      <w:proofErr w:type="gramEnd"/>
    </w:p>
    <w:p w14:paraId="5442DF26" w14:textId="77777777" w:rsidR="008E0A5A" w:rsidRPr="003403A8" w:rsidRDefault="00064599" w:rsidP="00B27DAE">
      <w:pPr>
        <w:pStyle w:val="ListParagraph"/>
        <w:numPr>
          <w:ilvl w:val="0"/>
          <w:numId w:val="1"/>
        </w:numPr>
        <w:tabs>
          <w:tab w:val="left" w:pos="328"/>
        </w:tabs>
        <w:spacing w:before="0" w:line="283" w:lineRule="auto"/>
        <w:ind w:left="329" w:right="555"/>
        <w:rPr>
          <w:sz w:val="19"/>
          <w:szCs w:val="19"/>
        </w:rPr>
      </w:pPr>
      <w:r w:rsidRPr="003403A8">
        <w:rPr>
          <w:color w:val="231F20"/>
          <w:spacing w:val="-4"/>
          <w:sz w:val="19"/>
          <w:szCs w:val="19"/>
        </w:rPr>
        <w:t>d</w:t>
      </w:r>
      <w:r w:rsidR="00F175A9" w:rsidRPr="003403A8">
        <w:rPr>
          <w:color w:val="231F20"/>
          <w:spacing w:val="-4"/>
          <w:sz w:val="19"/>
          <w:szCs w:val="19"/>
        </w:rPr>
        <w:t xml:space="preserve">omestic cheque drawing ($6.00) </w:t>
      </w:r>
      <w:r w:rsidR="00F175A9" w:rsidRPr="003403A8">
        <w:rPr>
          <w:color w:val="231F20"/>
          <w:spacing w:val="-3"/>
          <w:sz w:val="19"/>
          <w:szCs w:val="19"/>
        </w:rPr>
        <w:t xml:space="preserve">and </w:t>
      </w:r>
      <w:r w:rsidR="00F175A9" w:rsidRPr="003403A8">
        <w:rPr>
          <w:color w:val="231F20"/>
          <w:spacing w:val="-4"/>
          <w:sz w:val="19"/>
          <w:szCs w:val="19"/>
        </w:rPr>
        <w:t xml:space="preserve">direct </w:t>
      </w:r>
      <w:r w:rsidR="00F175A9" w:rsidRPr="003403A8">
        <w:rPr>
          <w:color w:val="231F20"/>
          <w:spacing w:val="-5"/>
          <w:sz w:val="19"/>
          <w:szCs w:val="19"/>
        </w:rPr>
        <w:t xml:space="preserve">credit </w:t>
      </w:r>
      <w:r w:rsidR="00F175A9" w:rsidRPr="003403A8">
        <w:rPr>
          <w:color w:val="231F20"/>
          <w:spacing w:val="-4"/>
          <w:sz w:val="19"/>
          <w:szCs w:val="19"/>
        </w:rPr>
        <w:t>($3.20</w:t>
      </w:r>
      <w:proofErr w:type="gramStart"/>
      <w:r w:rsidR="00F175A9" w:rsidRPr="003403A8">
        <w:rPr>
          <w:color w:val="231F20"/>
          <w:spacing w:val="-4"/>
          <w:sz w:val="19"/>
          <w:szCs w:val="19"/>
        </w:rPr>
        <w:t>)</w:t>
      </w:r>
      <w:r w:rsidR="00D222D1" w:rsidRPr="003403A8">
        <w:rPr>
          <w:color w:val="231F20"/>
          <w:spacing w:val="-4"/>
          <w:sz w:val="19"/>
          <w:szCs w:val="19"/>
        </w:rPr>
        <w:t>;</w:t>
      </w:r>
      <w:proofErr w:type="gramEnd"/>
    </w:p>
    <w:p w14:paraId="24779431" w14:textId="77777777" w:rsidR="008E0A5A" w:rsidRPr="003403A8" w:rsidRDefault="00064599" w:rsidP="00B27DAE">
      <w:pPr>
        <w:pStyle w:val="ListParagraph"/>
        <w:numPr>
          <w:ilvl w:val="0"/>
          <w:numId w:val="1"/>
        </w:numPr>
        <w:tabs>
          <w:tab w:val="left" w:pos="328"/>
        </w:tabs>
        <w:spacing w:before="0" w:line="283" w:lineRule="auto"/>
        <w:ind w:left="329" w:right="197"/>
        <w:rPr>
          <w:sz w:val="19"/>
          <w:szCs w:val="19"/>
        </w:rPr>
      </w:pPr>
      <w:r w:rsidRPr="003403A8">
        <w:rPr>
          <w:color w:val="231F20"/>
          <w:spacing w:val="-4"/>
          <w:sz w:val="19"/>
          <w:szCs w:val="19"/>
        </w:rPr>
        <w:t>i</w:t>
      </w:r>
      <w:r w:rsidR="00F175A9" w:rsidRPr="003403A8">
        <w:rPr>
          <w:color w:val="231F20"/>
          <w:spacing w:val="-4"/>
          <w:sz w:val="19"/>
          <w:szCs w:val="19"/>
        </w:rPr>
        <w:t xml:space="preserve">nternational </w:t>
      </w:r>
      <w:r w:rsidR="00F175A9" w:rsidRPr="003403A8">
        <w:rPr>
          <w:color w:val="231F20"/>
          <w:spacing w:val="-3"/>
          <w:sz w:val="19"/>
          <w:szCs w:val="19"/>
        </w:rPr>
        <w:t xml:space="preserve">bank </w:t>
      </w:r>
      <w:r w:rsidR="00F175A9" w:rsidRPr="003403A8">
        <w:rPr>
          <w:color w:val="231F20"/>
          <w:spacing w:val="-4"/>
          <w:sz w:val="19"/>
          <w:szCs w:val="19"/>
        </w:rPr>
        <w:t>transfers ($2</w:t>
      </w:r>
      <w:r w:rsidR="00010F66" w:rsidRPr="003403A8">
        <w:rPr>
          <w:color w:val="231F20"/>
          <w:spacing w:val="-4"/>
          <w:sz w:val="19"/>
          <w:szCs w:val="19"/>
        </w:rPr>
        <w:t>4</w:t>
      </w:r>
      <w:r w:rsidR="00F175A9" w:rsidRPr="003403A8">
        <w:rPr>
          <w:color w:val="231F20"/>
          <w:spacing w:val="-4"/>
          <w:sz w:val="19"/>
          <w:szCs w:val="19"/>
        </w:rPr>
        <w:t xml:space="preserve">.00) </w:t>
      </w:r>
      <w:r w:rsidR="00F175A9" w:rsidRPr="003403A8">
        <w:rPr>
          <w:color w:val="231F20"/>
          <w:spacing w:val="-3"/>
          <w:sz w:val="19"/>
          <w:szCs w:val="19"/>
        </w:rPr>
        <w:t xml:space="preserve">and </w:t>
      </w:r>
      <w:r w:rsidR="00F175A9" w:rsidRPr="003403A8">
        <w:rPr>
          <w:color w:val="231F20"/>
          <w:spacing w:val="-4"/>
          <w:sz w:val="19"/>
          <w:szCs w:val="19"/>
        </w:rPr>
        <w:t xml:space="preserve">international </w:t>
      </w:r>
      <w:r w:rsidR="00F175A9" w:rsidRPr="003403A8">
        <w:rPr>
          <w:color w:val="231F20"/>
          <w:spacing w:val="-3"/>
          <w:sz w:val="19"/>
          <w:szCs w:val="19"/>
        </w:rPr>
        <w:t xml:space="preserve">bank </w:t>
      </w:r>
      <w:r w:rsidR="00D222D1" w:rsidRPr="003403A8">
        <w:rPr>
          <w:color w:val="231F20"/>
          <w:spacing w:val="-4"/>
          <w:sz w:val="19"/>
          <w:szCs w:val="19"/>
        </w:rPr>
        <w:t>drafts (</w:t>
      </w:r>
      <w:r w:rsidR="00F175A9" w:rsidRPr="003403A8">
        <w:rPr>
          <w:color w:val="231F20"/>
          <w:spacing w:val="-4"/>
          <w:sz w:val="19"/>
          <w:szCs w:val="19"/>
        </w:rPr>
        <w:t xml:space="preserve">$32.00), excluding </w:t>
      </w:r>
      <w:r w:rsidR="00F175A9" w:rsidRPr="003403A8">
        <w:rPr>
          <w:color w:val="231F20"/>
          <w:spacing w:val="-3"/>
          <w:sz w:val="19"/>
          <w:szCs w:val="19"/>
        </w:rPr>
        <w:t xml:space="preserve">any 3rd </w:t>
      </w:r>
      <w:r w:rsidR="00F175A9" w:rsidRPr="003403A8">
        <w:rPr>
          <w:color w:val="231F20"/>
          <w:spacing w:val="-4"/>
          <w:sz w:val="19"/>
          <w:szCs w:val="19"/>
        </w:rPr>
        <w:t xml:space="preserve">party transaction </w:t>
      </w:r>
      <w:r w:rsidR="00F175A9" w:rsidRPr="003403A8">
        <w:rPr>
          <w:color w:val="231F20"/>
          <w:spacing w:val="-3"/>
          <w:sz w:val="19"/>
          <w:szCs w:val="19"/>
        </w:rPr>
        <w:t xml:space="preserve">and </w:t>
      </w:r>
      <w:r w:rsidR="00F175A9" w:rsidRPr="003403A8">
        <w:rPr>
          <w:color w:val="231F20"/>
          <w:spacing w:val="-4"/>
          <w:sz w:val="19"/>
          <w:szCs w:val="19"/>
        </w:rPr>
        <w:t>processing</w:t>
      </w:r>
      <w:r w:rsidR="00F175A9" w:rsidRPr="003403A8">
        <w:rPr>
          <w:color w:val="231F20"/>
          <w:spacing w:val="-9"/>
          <w:sz w:val="19"/>
          <w:szCs w:val="19"/>
        </w:rPr>
        <w:t xml:space="preserve"> </w:t>
      </w:r>
      <w:proofErr w:type="gramStart"/>
      <w:r w:rsidR="00F175A9" w:rsidRPr="003403A8">
        <w:rPr>
          <w:color w:val="231F20"/>
          <w:spacing w:val="-4"/>
          <w:sz w:val="19"/>
          <w:szCs w:val="19"/>
        </w:rPr>
        <w:t>fees</w:t>
      </w:r>
      <w:r w:rsidR="00D222D1" w:rsidRPr="003403A8">
        <w:rPr>
          <w:color w:val="231F20"/>
          <w:spacing w:val="-4"/>
          <w:sz w:val="19"/>
          <w:szCs w:val="19"/>
        </w:rPr>
        <w:t>;</w:t>
      </w:r>
      <w:proofErr w:type="gramEnd"/>
    </w:p>
    <w:p w14:paraId="1A7CD80C" w14:textId="77777777" w:rsidR="008E0A5A" w:rsidRPr="003403A8" w:rsidRDefault="00F175A9" w:rsidP="00B27DAE">
      <w:pPr>
        <w:pStyle w:val="ListParagraph"/>
        <w:numPr>
          <w:ilvl w:val="0"/>
          <w:numId w:val="1"/>
        </w:numPr>
        <w:tabs>
          <w:tab w:val="left" w:pos="328"/>
        </w:tabs>
        <w:spacing w:before="0" w:line="283" w:lineRule="auto"/>
        <w:ind w:left="329" w:right="450"/>
        <w:rPr>
          <w:sz w:val="19"/>
          <w:szCs w:val="19"/>
        </w:rPr>
      </w:pPr>
      <w:r w:rsidRPr="003403A8">
        <w:rPr>
          <w:color w:val="231F20"/>
          <w:spacing w:val="-4"/>
          <w:sz w:val="19"/>
          <w:szCs w:val="19"/>
        </w:rPr>
        <w:t xml:space="preserve">investment review </w:t>
      </w:r>
      <w:r w:rsidRPr="003403A8">
        <w:rPr>
          <w:color w:val="231F20"/>
          <w:spacing w:val="-3"/>
          <w:sz w:val="19"/>
          <w:szCs w:val="19"/>
        </w:rPr>
        <w:t xml:space="preserve">fees for </w:t>
      </w:r>
      <w:r w:rsidRPr="003403A8">
        <w:rPr>
          <w:color w:val="231F20"/>
          <w:spacing w:val="-4"/>
          <w:sz w:val="19"/>
          <w:szCs w:val="19"/>
        </w:rPr>
        <w:t xml:space="preserve">developing </w:t>
      </w:r>
      <w:r w:rsidRPr="003403A8">
        <w:rPr>
          <w:color w:val="231F20"/>
          <w:sz w:val="19"/>
          <w:szCs w:val="19"/>
        </w:rPr>
        <w:t xml:space="preserve">an </w:t>
      </w:r>
      <w:r w:rsidRPr="003403A8">
        <w:rPr>
          <w:color w:val="231F20"/>
          <w:spacing w:val="-4"/>
          <w:sz w:val="19"/>
          <w:szCs w:val="19"/>
        </w:rPr>
        <w:t xml:space="preserve">investment strategy </w:t>
      </w:r>
      <w:r w:rsidRPr="003403A8">
        <w:rPr>
          <w:color w:val="231F20"/>
          <w:spacing w:val="-3"/>
          <w:sz w:val="19"/>
          <w:szCs w:val="19"/>
        </w:rPr>
        <w:t xml:space="preserve">for the </w:t>
      </w:r>
      <w:r w:rsidRPr="003403A8">
        <w:rPr>
          <w:color w:val="231F20"/>
          <w:spacing w:val="-4"/>
          <w:sz w:val="19"/>
          <w:szCs w:val="19"/>
        </w:rPr>
        <w:t xml:space="preserve">client portfolio. </w:t>
      </w:r>
      <w:r w:rsidRPr="003403A8">
        <w:rPr>
          <w:color w:val="231F20"/>
          <w:spacing w:val="-3"/>
          <w:sz w:val="19"/>
          <w:szCs w:val="19"/>
        </w:rPr>
        <w:t>The fee</w:t>
      </w:r>
      <w:r w:rsidRPr="003403A8">
        <w:rPr>
          <w:color w:val="231F20"/>
          <w:spacing w:val="-17"/>
          <w:sz w:val="19"/>
          <w:szCs w:val="19"/>
        </w:rPr>
        <w:t xml:space="preserve"> </w:t>
      </w:r>
      <w:r w:rsidRPr="003403A8">
        <w:rPr>
          <w:color w:val="231F20"/>
          <w:spacing w:val="-4"/>
          <w:sz w:val="19"/>
          <w:szCs w:val="19"/>
        </w:rPr>
        <w:t>charged</w:t>
      </w:r>
      <w:r w:rsidR="00B27DAE" w:rsidRPr="003403A8">
        <w:rPr>
          <w:color w:val="231F20"/>
          <w:spacing w:val="-4"/>
          <w:sz w:val="19"/>
          <w:szCs w:val="19"/>
        </w:rPr>
        <w:t xml:space="preserve"> </w:t>
      </w:r>
    </w:p>
    <w:p w14:paraId="4278F955" w14:textId="77777777" w:rsidR="008E0A5A" w:rsidRPr="003403A8" w:rsidRDefault="00F175A9" w:rsidP="00B27DAE">
      <w:pPr>
        <w:pStyle w:val="BodyText"/>
        <w:spacing w:line="283" w:lineRule="auto"/>
        <w:ind w:left="329" w:right="31"/>
        <w:rPr>
          <w:sz w:val="19"/>
          <w:szCs w:val="19"/>
        </w:rPr>
      </w:pPr>
      <w:r w:rsidRPr="003403A8">
        <w:rPr>
          <w:color w:val="231F20"/>
          <w:sz w:val="19"/>
          <w:szCs w:val="19"/>
        </w:rPr>
        <w:t xml:space="preserve">is </w:t>
      </w:r>
      <w:r w:rsidRPr="003403A8">
        <w:rPr>
          <w:color w:val="231F20"/>
          <w:spacing w:val="-4"/>
          <w:sz w:val="19"/>
          <w:szCs w:val="19"/>
        </w:rPr>
        <w:t xml:space="preserve">dependent </w:t>
      </w:r>
      <w:r w:rsidRPr="003403A8">
        <w:rPr>
          <w:color w:val="231F20"/>
          <w:spacing w:val="-3"/>
          <w:sz w:val="19"/>
          <w:szCs w:val="19"/>
        </w:rPr>
        <w:t xml:space="preserve">upon the </w:t>
      </w:r>
      <w:r w:rsidRPr="003403A8">
        <w:rPr>
          <w:color w:val="231F20"/>
          <w:spacing w:val="-4"/>
          <w:sz w:val="19"/>
          <w:szCs w:val="19"/>
        </w:rPr>
        <w:t xml:space="preserve">complexity </w:t>
      </w:r>
      <w:r w:rsidRPr="003403A8">
        <w:rPr>
          <w:color w:val="231F20"/>
          <w:sz w:val="19"/>
          <w:szCs w:val="19"/>
        </w:rPr>
        <w:t xml:space="preserve">of </w:t>
      </w:r>
      <w:r w:rsidRPr="003403A8">
        <w:rPr>
          <w:color w:val="231F20"/>
          <w:spacing w:val="-4"/>
          <w:sz w:val="19"/>
          <w:szCs w:val="19"/>
        </w:rPr>
        <w:t xml:space="preserve">individual </w:t>
      </w:r>
      <w:proofErr w:type="gramStart"/>
      <w:r w:rsidRPr="003403A8">
        <w:rPr>
          <w:color w:val="231F20"/>
          <w:spacing w:val="-5"/>
          <w:sz w:val="19"/>
          <w:szCs w:val="19"/>
        </w:rPr>
        <w:t>circumstances</w:t>
      </w:r>
      <w:r w:rsidR="00D222D1" w:rsidRPr="003403A8">
        <w:rPr>
          <w:color w:val="231F20"/>
          <w:spacing w:val="-5"/>
          <w:sz w:val="19"/>
          <w:szCs w:val="19"/>
        </w:rPr>
        <w:t>;</w:t>
      </w:r>
      <w:proofErr w:type="gramEnd"/>
    </w:p>
    <w:p w14:paraId="36021BD4" w14:textId="77777777" w:rsidR="008E0A5A" w:rsidRPr="003403A8" w:rsidRDefault="00F175A9" w:rsidP="00B27DAE">
      <w:pPr>
        <w:pStyle w:val="ListParagraph"/>
        <w:numPr>
          <w:ilvl w:val="0"/>
          <w:numId w:val="1"/>
        </w:numPr>
        <w:tabs>
          <w:tab w:val="left" w:pos="328"/>
        </w:tabs>
        <w:spacing w:before="0" w:line="283" w:lineRule="auto"/>
        <w:ind w:left="329" w:right="186"/>
        <w:rPr>
          <w:sz w:val="19"/>
          <w:szCs w:val="19"/>
        </w:rPr>
      </w:pPr>
      <w:proofErr w:type="gramStart"/>
      <w:r w:rsidRPr="003403A8">
        <w:rPr>
          <w:color w:val="231F20"/>
          <w:spacing w:val="-4"/>
          <w:sz w:val="19"/>
          <w:szCs w:val="19"/>
        </w:rPr>
        <w:t>depending</w:t>
      </w:r>
      <w:proofErr w:type="gramEnd"/>
      <w:r w:rsidRPr="003403A8">
        <w:rPr>
          <w:color w:val="231F20"/>
          <w:spacing w:val="-4"/>
          <w:sz w:val="19"/>
          <w:szCs w:val="19"/>
        </w:rPr>
        <w:t xml:space="preserve"> </w:t>
      </w:r>
      <w:r w:rsidRPr="003403A8">
        <w:rPr>
          <w:color w:val="231F20"/>
          <w:sz w:val="19"/>
          <w:szCs w:val="19"/>
        </w:rPr>
        <w:t xml:space="preserve">on </w:t>
      </w:r>
      <w:r w:rsidRPr="003403A8">
        <w:rPr>
          <w:color w:val="231F20"/>
          <w:spacing w:val="-3"/>
          <w:sz w:val="19"/>
          <w:szCs w:val="19"/>
        </w:rPr>
        <w:t xml:space="preserve">the </w:t>
      </w:r>
      <w:r w:rsidRPr="003403A8">
        <w:rPr>
          <w:color w:val="231F20"/>
          <w:spacing w:val="-4"/>
          <w:sz w:val="19"/>
          <w:szCs w:val="19"/>
        </w:rPr>
        <w:t xml:space="preserve">complexity </w:t>
      </w:r>
      <w:r w:rsidRPr="003403A8">
        <w:rPr>
          <w:color w:val="231F20"/>
          <w:sz w:val="19"/>
          <w:szCs w:val="19"/>
        </w:rPr>
        <w:t xml:space="preserve">of </w:t>
      </w:r>
      <w:r w:rsidRPr="003403A8">
        <w:rPr>
          <w:color w:val="231F20"/>
          <w:spacing w:val="-3"/>
          <w:sz w:val="19"/>
          <w:szCs w:val="19"/>
        </w:rPr>
        <w:t xml:space="preserve">the </w:t>
      </w:r>
      <w:r w:rsidRPr="003403A8">
        <w:rPr>
          <w:color w:val="231F20"/>
          <w:spacing w:val="-4"/>
          <w:sz w:val="19"/>
          <w:szCs w:val="19"/>
        </w:rPr>
        <w:t xml:space="preserve">matter </w:t>
      </w:r>
      <w:r w:rsidRPr="003403A8">
        <w:rPr>
          <w:color w:val="231F20"/>
          <w:sz w:val="19"/>
          <w:szCs w:val="19"/>
        </w:rPr>
        <w:t xml:space="preserve">a </w:t>
      </w:r>
      <w:r w:rsidRPr="003403A8">
        <w:rPr>
          <w:color w:val="231F20"/>
          <w:spacing w:val="-3"/>
          <w:sz w:val="19"/>
          <w:szCs w:val="19"/>
        </w:rPr>
        <w:t xml:space="preserve">fee </w:t>
      </w:r>
      <w:r w:rsidRPr="003403A8">
        <w:rPr>
          <w:color w:val="231F20"/>
          <w:spacing w:val="-4"/>
          <w:sz w:val="19"/>
          <w:szCs w:val="19"/>
        </w:rPr>
        <w:t xml:space="preserve">will </w:t>
      </w:r>
      <w:r w:rsidRPr="003403A8">
        <w:rPr>
          <w:color w:val="231F20"/>
          <w:sz w:val="19"/>
          <w:szCs w:val="19"/>
        </w:rPr>
        <w:t xml:space="preserve">be </w:t>
      </w:r>
      <w:r w:rsidRPr="003403A8">
        <w:rPr>
          <w:color w:val="231F20"/>
          <w:spacing w:val="-4"/>
          <w:sz w:val="19"/>
          <w:szCs w:val="19"/>
        </w:rPr>
        <w:t xml:space="preserve">charged </w:t>
      </w:r>
      <w:r w:rsidRPr="003403A8">
        <w:rPr>
          <w:color w:val="231F20"/>
          <w:spacing w:val="-3"/>
          <w:sz w:val="19"/>
          <w:szCs w:val="19"/>
        </w:rPr>
        <w:t xml:space="preserve">for the </w:t>
      </w:r>
      <w:r w:rsidRPr="003403A8">
        <w:rPr>
          <w:color w:val="231F20"/>
          <w:spacing w:val="-4"/>
          <w:sz w:val="19"/>
          <w:szCs w:val="19"/>
        </w:rPr>
        <w:t xml:space="preserve">preparation </w:t>
      </w:r>
      <w:r w:rsidRPr="003403A8">
        <w:rPr>
          <w:color w:val="231F20"/>
          <w:spacing w:val="-3"/>
          <w:sz w:val="19"/>
          <w:szCs w:val="19"/>
        </w:rPr>
        <w:t xml:space="preserve">and </w:t>
      </w:r>
      <w:r w:rsidR="00DE7500" w:rsidRPr="003403A8">
        <w:rPr>
          <w:color w:val="231F20"/>
          <w:spacing w:val="-4"/>
          <w:sz w:val="19"/>
          <w:szCs w:val="19"/>
        </w:rPr>
        <w:t>lodgment</w:t>
      </w:r>
      <w:r w:rsidRPr="003403A8">
        <w:rPr>
          <w:color w:val="231F20"/>
          <w:spacing w:val="-4"/>
          <w:sz w:val="19"/>
          <w:szCs w:val="19"/>
        </w:rPr>
        <w:t xml:space="preserve"> of income </w:t>
      </w:r>
      <w:r w:rsidRPr="003403A8">
        <w:rPr>
          <w:color w:val="231F20"/>
          <w:spacing w:val="-3"/>
          <w:sz w:val="19"/>
          <w:szCs w:val="19"/>
        </w:rPr>
        <w:t xml:space="preserve">tax returns and </w:t>
      </w:r>
      <w:r w:rsidRPr="003403A8">
        <w:rPr>
          <w:color w:val="231F20"/>
          <w:spacing w:val="-4"/>
          <w:sz w:val="19"/>
          <w:szCs w:val="19"/>
        </w:rPr>
        <w:t xml:space="preserve">other taxation services including </w:t>
      </w:r>
      <w:r w:rsidRPr="003403A8">
        <w:rPr>
          <w:color w:val="231F20"/>
          <w:spacing w:val="-3"/>
          <w:sz w:val="19"/>
          <w:szCs w:val="19"/>
        </w:rPr>
        <w:t xml:space="preserve">the </w:t>
      </w:r>
      <w:r w:rsidRPr="003403A8">
        <w:rPr>
          <w:color w:val="231F20"/>
          <w:spacing w:val="-4"/>
          <w:sz w:val="19"/>
          <w:szCs w:val="19"/>
        </w:rPr>
        <w:t xml:space="preserve">establishment </w:t>
      </w:r>
      <w:r w:rsidRPr="003403A8">
        <w:rPr>
          <w:color w:val="231F20"/>
          <w:sz w:val="19"/>
          <w:szCs w:val="19"/>
        </w:rPr>
        <w:t xml:space="preserve">of </w:t>
      </w:r>
      <w:r w:rsidRPr="003403A8">
        <w:rPr>
          <w:color w:val="231F20"/>
          <w:spacing w:val="-3"/>
          <w:sz w:val="19"/>
          <w:szCs w:val="19"/>
        </w:rPr>
        <w:t xml:space="preserve">the </w:t>
      </w:r>
      <w:r w:rsidRPr="003403A8">
        <w:rPr>
          <w:color w:val="231F20"/>
          <w:spacing w:val="-4"/>
          <w:sz w:val="19"/>
          <w:szCs w:val="19"/>
        </w:rPr>
        <w:t xml:space="preserve">acquisition details </w:t>
      </w:r>
      <w:r w:rsidRPr="003403A8">
        <w:rPr>
          <w:color w:val="231F20"/>
          <w:sz w:val="19"/>
          <w:szCs w:val="19"/>
        </w:rPr>
        <w:t xml:space="preserve">of </w:t>
      </w:r>
      <w:r w:rsidRPr="003403A8">
        <w:rPr>
          <w:color w:val="231F20"/>
          <w:spacing w:val="-4"/>
          <w:sz w:val="19"/>
          <w:szCs w:val="19"/>
        </w:rPr>
        <w:t xml:space="preserve">assets for capital gains </w:t>
      </w:r>
      <w:r w:rsidRPr="003403A8">
        <w:rPr>
          <w:color w:val="231F20"/>
          <w:spacing w:val="-3"/>
          <w:sz w:val="19"/>
          <w:szCs w:val="19"/>
        </w:rPr>
        <w:t>tax</w:t>
      </w:r>
      <w:r w:rsidRPr="003403A8">
        <w:rPr>
          <w:color w:val="231F20"/>
          <w:spacing w:val="-7"/>
          <w:sz w:val="19"/>
          <w:szCs w:val="19"/>
        </w:rPr>
        <w:t xml:space="preserve"> </w:t>
      </w:r>
      <w:proofErr w:type="gramStart"/>
      <w:r w:rsidRPr="003403A8">
        <w:rPr>
          <w:color w:val="231F20"/>
          <w:spacing w:val="-4"/>
          <w:sz w:val="19"/>
          <w:szCs w:val="19"/>
        </w:rPr>
        <w:t>purposes</w:t>
      </w:r>
      <w:r w:rsidR="00D222D1" w:rsidRPr="003403A8">
        <w:rPr>
          <w:color w:val="231F20"/>
          <w:spacing w:val="-4"/>
          <w:sz w:val="19"/>
          <w:szCs w:val="19"/>
        </w:rPr>
        <w:t>;</w:t>
      </w:r>
      <w:proofErr w:type="gramEnd"/>
    </w:p>
    <w:p w14:paraId="09F267B7" w14:textId="77777777" w:rsidR="008E0A5A" w:rsidRPr="003403A8" w:rsidRDefault="00F175A9" w:rsidP="00E3556C">
      <w:pPr>
        <w:pStyle w:val="ListParagraph"/>
        <w:numPr>
          <w:ilvl w:val="0"/>
          <w:numId w:val="1"/>
        </w:numPr>
        <w:tabs>
          <w:tab w:val="left" w:pos="328"/>
        </w:tabs>
        <w:spacing w:before="0" w:line="283" w:lineRule="auto"/>
        <w:ind w:left="329" w:right="450"/>
        <w:rPr>
          <w:color w:val="231F20"/>
          <w:spacing w:val="-4"/>
          <w:sz w:val="19"/>
          <w:szCs w:val="19"/>
        </w:rPr>
      </w:pPr>
      <w:r w:rsidRPr="003403A8">
        <w:rPr>
          <w:color w:val="231F20"/>
          <w:sz w:val="19"/>
          <w:szCs w:val="19"/>
        </w:rPr>
        <w:t xml:space="preserve">a </w:t>
      </w:r>
      <w:r w:rsidRPr="003403A8">
        <w:rPr>
          <w:color w:val="231F20"/>
          <w:spacing w:val="-3"/>
          <w:sz w:val="19"/>
          <w:szCs w:val="19"/>
        </w:rPr>
        <w:t xml:space="preserve">fee for </w:t>
      </w:r>
      <w:r w:rsidRPr="003403A8">
        <w:rPr>
          <w:color w:val="231F20"/>
          <w:spacing w:val="-4"/>
          <w:sz w:val="19"/>
          <w:szCs w:val="19"/>
        </w:rPr>
        <w:t xml:space="preserve">conveyancing </w:t>
      </w:r>
      <w:r w:rsidRPr="003403A8">
        <w:rPr>
          <w:color w:val="231F20"/>
          <w:spacing w:val="-3"/>
          <w:sz w:val="19"/>
          <w:szCs w:val="19"/>
        </w:rPr>
        <w:t xml:space="preserve">and </w:t>
      </w:r>
      <w:r w:rsidRPr="003403A8">
        <w:rPr>
          <w:color w:val="231F20"/>
          <w:spacing w:val="-4"/>
          <w:sz w:val="19"/>
          <w:szCs w:val="19"/>
        </w:rPr>
        <w:t xml:space="preserve">other services provided in relation to the sale, purchase or transfer of a </w:t>
      </w:r>
      <w:r w:rsidR="005C2B48" w:rsidRPr="003403A8">
        <w:rPr>
          <w:color w:val="231F20"/>
          <w:spacing w:val="-4"/>
          <w:sz w:val="19"/>
          <w:szCs w:val="19"/>
        </w:rPr>
        <w:t>property; and/or</w:t>
      </w:r>
    </w:p>
    <w:p w14:paraId="338186D6" w14:textId="77777777" w:rsidR="00E3556C" w:rsidRPr="003403A8" w:rsidRDefault="00E3556C" w:rsidP="00E3556C">
      <w:pPr>
        <w:pStyle w:val="ListParagraph"/>
        <w:numPr>
          <w:ilvl w:val="0"/>
          <w:numId w:val="1"/>
        </w:numPr>
        <w:tabs>
          <w:tab w:val="left" w:pos="328"/>
        </w:tabs>
        <w:spacing w:before="0" w:line="283" w:lineRule="auto"/>
        <w:ind w:left="329" w:right="450"/>
        <w:rPr>
          <w:color w:val="231F20"/>
          <w:spacing w:val="-4"/>
          <w:sz w:val="19"/>
          <w:szCs w:val="19"/>
        </w:rPr>
      </w:pPr>
      <w:proofErr w:type="gramStart"/>
      <w:r w:rsidRPr="003403A8">
        <w:rPr>
          <w:color w:val="231F20"/>
          <w:spacing w:val="-4"/>
          <w:sz w:val="19"/>
          <w:szCs w:val="19"/>
        </w:rPr>
        <w:t>work</w:t>
      </w:r>
      <w:proofErr w:type="gramEnd"/>
      <w:r w:rsidRPr="003403A8">
        <w:rPr>
          <w:color w:val="231F20"/>
          <w:spacing w:val="-4"/>
          <w:sz w:val="19"/>
          <w:szCs w:val="19"/>
        </w:rPr>
        <w:t xml:space="preserve"> of a particularly complex nature not covered above will be charged at an hourly rate.</w:t>
      </w:r>
    </w:p>
    <w:p w14:paraId="0B1E91CB" w14:textId="28295D50" w:rsidR="008E0A5A" w:rsidRDefault="00F175A9" w:rsidP="00B30F78">
      <w:pPr>
        <w:pStyle w:val="Heading1"/>
        <w:spacing w:before="140"/>
        <w:ind w:left="102" w:right="28"/>
      </w:pPr>
      <w:r>
        <w:rPr>
          <w:color w:val="08BCE5"/>
        </w:rPr>
        <w:t>LEGAL SERVICES</w:t>
      </w:r>
    </w:p>
    <w:p w14:paraId="5BC36D20" w14:textId="6A975B9A" w:rsidR="004B20D7" w:rsidRPr="00176FE4" w:rsidRDefault="004B20D7" w:rsidP="00CA4F3E">
      <w:pPr>
        <w:pStyle w:val="BodyText"/>
        <w:spacing w:before="20" w:line="283" w:lineRule="auto"/>
        <w:ind w:left="102" w:right="31"/>
        <w:rPr>
          <w:color w:val="231F20"/>
          <w:spacing w:val="-4"/>
          <w:sz w:val="19"/>
          <w:szCs w:val="19"/>
        </w:rPr>
      </w:pPr>
      <w:r w:rsidRPr="00176FE4">
        <w:rPr>
          <w:color w:val="231F20"/>
          <w:spacing w:val="-4"/>
          <w:sz w:val="19"/>
          <w:szCs w:val="19"/>
        </w:rPr>
        <w:t xml:space="preserve">The Public Trustee can seek outside practitioners to provide legal services. These services will be charged at the firm's market rate. </w:t>
      </w:r>
    </w:p>
    <w:p w14:paraId="3A085DB3" w14:textId="77777777" w:rsidR="004B20D7" w:rsidRPr="00176FE4" w:rsidRDefault="004B20D7" w:rsidP="00CA4F3E">
      <w:pPr>
        <w:pStyle w:val="BodyText"/>
        <w:spacing w:before="20" w:line="283" w:lineRule="auto"/>
        <w:ind w:left="102" w:right="31"/>
        <w:rPr>
          <w:color w:val="231F20"/>
          <w:spacing w:val="-4"/>
          <w:sz w:val="19"/>
          <w:szCs w:val="19"/>
        </w:rPr>
      </w:pPr>
    </w:p>
    <w:p w14:paraId="4C9100AD" w14:textId="733E59CF" w:rsidR="00CA4F3E" w:rsidRPr="003403A8" w:rsidRDefault="00CA4F3E" w:rsidP="00CA4F3E">
      <w:pPr>
        <w:pStyle w:val="BodyText"/>
        <w:spacing w:before="20" w:line="283" w:lineRule="auto"/>
        <w:ind w:left="102" w:right="31"/>
        <w:rPr>
          <w:color w:val="231F20"/>
          <w:spacing w:val="-4"/>
          <w:sz w:val="19"/>
          <w:szCs w:val="19"/>
        </w:rPr>
      </w:pPr>
      <w:r w:rsidRPr="00176FE4">
        <w:rPr>
          <w:color w:val="231F20"/>
          <w:spacing w:val="-4"/>
          <w:sz w:val="19"/>
          <w:szCs w:val="19"/>
        </w:rPr>
        <w:t xml:space="preserve">The cost of legal services from our legal practitioners depends on how difficult the task </w:t>
      </w:r>
      <w:r w:rsidR="00AC68D6" w:rsidRPr="00176FE4">
        <w:rPr>
          <w:color w:val="231F20"/>
          <w:spacing w:val="-4"/>
          <w:sz w:val="19"/>
          <w:szCs w:val="19"/>
        </w:rPr>
        <w:t xml:space="preserve">is. </w:t>
      </w:r>
      <w:r w:rsidRPr="00176FE4">
        <w:rPr>
          <w:color w:val="231F20"/>
          <w:spacing w:val="-4"/>
          <w:sz w:val="19"/>
          <w:szCs w:val="19"/>
        </w:rPr>
        <w:t>The Public Trustee will not charge more than the maximum hourly attendance rate set out in the Supreme Court Rules 2000. This is currently set between $194.00 and $423.00.</w:t>
      </w:r>
    </w:p>
    <w:sectPr w:rsidR="00CA4F3E" w:rsidRPr="003403A8" w:rsidSect="00B27DAE">
      <w:footerReference w:type="default" r:id="rId12"/>
      <w:footerReference w:type="first" r:id="rId13"/>
      <w:type w:val="continuous"/>
      <w:pgSz w:w="11910" w:h="16840" w:code="9"/>
      <w:pgMar w:top="1780" w:right="711" w:bottom="232" w:left="578" w:header="754" w:footer="0" w:gutter="0"/>
      <w:cols w:num="2" w:space="3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0DF84" w14:textId="77777777" w:rsidR="00C61BEF" w:rsidRDefault="00C61BEF">
      <w:r>
        <w:separator/>
      </w:r>
    </w:p>
  </w:endnote>
  <w:endnote w:type="continuationSeparator" w:id="0">
    <w:p w14:paraId="6A7D2FAE" w14:textId="77777777" w:rsidR="00C61BEF" w:rsidRDefault="00C6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10616" w14:textId="29590A00" w:rsidR="001852AD" w:rsidRDefault="00D168ED" w:rsidP="00D168ED">
    <w:pPr>
      <w:pStyle w:val="Footer"/>
      <w:ind w:left="-560"/>
    </w:pPr>
    <w:r>
      <w:rPr>
        <w:noProof/>
      </w:rPr>
      <w:drawing>
        <wp:inline distT="0" distB="0" distL="0" distR="0" wp14:anchorId="57E15A1F" wp14:editId="77B69502">
          <wp:extent cx="7580778" cy="1171575"/>
          <wp:effectExtent l="0" t="0" r="1270" b="0"/>
          <wp:docPr id="1633123497" name="Picture 1633123497" descr="Contact us on 1800068784 or visit us at www.publictrustee.tas.gov.au or email TPT@publictrustee.tas.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ontact us on 1800068784 or visit us at www.publictrustee.tas.gov.au or email TPT@publictrustee.tas.gov.au"/>
                  <pic:cNvPicPr/>
                </pic:nvPicPr>
                <pic:blipFill>
                  <a:blip r:embed="rId1"/>
                  <a:stretch>
                    <a:fillRect/>
                  </a:stretch>
                </pic:blipFill>
                <pic:spPr>
                  <a:xfrm>
                    <a:off x="0" y="0"/>
                    <a:ext cx="7582464" cy="1171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CD65A" w14:textId="77777777" w:rsidR="00F175A9" w:rsidRDefault="00713BFB" w:rsidP="00F175A9">
    <w:pPr>
      <w:pStyle w:val="Footer"/>
      <w:ind w:left="-567"/>
    </w:pPr>
    <w:r>
      <w:rPr>
        <w:noProof/>
        <w:lang w:val="en-AU" w:eastAsia="en-AU"/>
      </w:rPr>
      <w:drawing>
        <wp:inline distT="0" distB="0" distL="0" distR="0" wp14:anchorId="3ECC8136" wp14:editId="4685CFBB">
          <wp:extent cx="7552217" cy="1357051"/>
          <wp:effectExtent l="0" t="0" r="0" b="0"/>
          <wp:docPr id="44866802" name="Picture 44866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552217" cy="135705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5198A" w14:textId="6DFF4B2C" w:rsidR="003403A8" w:rsidRDefault="003403A8" w:rsidP="00D168ED">
    <w:pPr>
      <w:pStyle w:val="Footer"/>
      <w:ind w:left="-5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CFDBE" w14:textId="77777777" w:rsidR="00F175A9" w:rsidRDefault="00F175A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5FB77" w14:textId="77777777" w:rsidR="00E8637C" w:rsidRDefault="00E8637C" w:rsidP="00F175A9">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407BC" w14:textId="77777777" w:rsidR="00C61BEF" w:rsidRDefault="00C61BEF">
      <w:r>
        <w:separator/>
      </w:r>
    </w:p>
  </w:footnote>
  <w:footnote w:type="continuationSeparator" w:id="0">
    <w:p w14:paraId="47F19807" w14:textId="77777777" w:rsidR="00C61BEF" w:rsidRDefault="00C61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970D5" w14:textId="77777777" w:rsidR="00B27DAE" w:rsidRDefault="00353AF8" w:rsidP="00B27DAE">
    <w:pPr>
      <w:pStyle w:val="Header"/>
      <w:ind w:left="-560"/>
    </w:pPr>
    <w:r>
      <w:rPr>
        <w:noProof/>
        <w:lang w:val="en-AU" w:eastAsia="en-AU"/>
      </w:rPr>
      <w:drawing>
        <wp:inline distT="0" distB="0" distL="0" distR="0" wp14:anchorId="4010D017" wp14:editId="600BC68A">
          <wp:extent cx="6927850" cy="1272438"/>
          <wp:effectExtent l="0" t="0" r="6350" b="4445"/>
          <wp:docPr id="449966384" name="Picture 449966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927850" cy="12724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4D8F"/>
    <w:multiLevelType w:val="hybridMultilevel"/>
    <w:tmpl w:val="6E08AE34"/>
    <w:lvl w:ilvl="0" w:tplc="0C090001">
      <w:start w:val="1"/>
      <w:numFmt w:val="bullet"/>
      <w:lvlText w:val=""/>
      <w:lvlJc w:val="left"/>
      <w:pPr>
        <w:ind w:left="651" w:hanging="360"/>
      </w:pPr>
      <w:rPr>
        <w:rFonts w:ascii="Symbol" w:hAnsi="Symbol" w:hint="default"/>
      </w:rPr>
    </w:lvl>
    <w:lvl w:ilvl="1" w:tplc="0C090003" w:tentative="1">
      <w:start w:val="1"/>
      <w:numFmt w:val="bullet"/>
      <w:lvlText w:val="o"/>
      <w:lvlJc w:val="left"/>
      <w:pPr>
        <w:ind w:left="1371" w:hanging="360"/>
      </w:pPr>
      <w:rPr>
        <w:rFonts w:ascii="Courier New" w:hAnsi="Courier New" w:cs="Courier New" w:hint="default"/>
      </w:rPr>
    </w:lvl>
    <w:lvl w:ilvl="2" w:tplc="0C090005">
      <w:start w:val="1"/>
      <w:numFmt w:val="bullet"/>
      <w:lvlText w:val=""/>
      <w:lvlJc w:val="left"/>
      <w:pPr>
        <w:ind w:left="2091" w:hanging="360"/>
      </w:pPr>
      <w:rPr>
        <w:rFonts w:ascii="Wingdings" w:hAnsi="Wingdings" w:hint="default"/>
      </w:rPr>
    </w:lvl>
    <w:lvl w:ilvl="3" w:tplc="0C090001" w:tentative="1">
      <w:start w:val="1"/>
      <w:numFmt w:val="bullet"/>
      <w:lvlText w:val=""/>
      <w:lvlJc w:val="left"/>
      <w:pPr>
        <w:ind w:left="2811" w:hanging="360"/>
      </w:pPr>
      <w:rPr>
        <w:rFonts w:ascii="Symbol" w:hAnsi="Symbol" w:hint="default"/>
      </w:rPr>
    </w:lvl>
    <w:lvl w:ilvl="4" w:tplc="0C090003" w:tentative="1">
      <w:start w:val="1"/>
      <w:numFmt w:val="bullet"/>
      <w:lvlText w:val="o"/>
      <w:lvlJc w:val="left"/>
      <w:pPr>
        <w:ind w:left="3531" w:hanging="360"/>
      </w:pPr>
      <w:rPr>
        <w:rFonts w:ascii="Courier New" w:hAnsi="Courier New" w:cs="Courier New" w:hint="default"/>
      </w:rPr>
    </w:lvl>
    <w:lvl w:ilvl="5" w:tplc="0C090005" w:tentative="1">
      <w:start w:val="1"/>
      <w:numFmt w:val="bullet"/>
      <w:lvlText w:val=""/>
      <w:lvlJc w:val="left"/>
      <w:pPr>
        <w:ind w:left="4251" w:hanging="360"/>
      </w:pPr>
      <w:rPr>
        <w:rFonts w:ascii="Wingdings" w:hAnsi="Wingdings" w:hint="default"/>
      </w:rPr>
    </w:lvl>
    <w:lvl w:ilvl="6" w:tplc="0C090001" w:tentative="1">
      <w:start w:val="1"/>
      <w:numFmt w:val="bullet"/>
      <w:lvlText w:val=""/>
      <w:lvlJc w:val="left"/>
      <w:pPr>
        <w:ind w:left="4971" w:hanging="360"/>
      </w:pPr>
      <w:rPr>
        <w:rFonts w:ascii="Symbol" w:hAnsi="Symbol" w:hint="default"/>
      </w:rPr>
    </w:lvl>
    <w:lvl w:ilvl="7" w:tplc="0C090003" w:tentative="1">
      <w:start w:val="1"/>
      <w:numFmt w:val="bullet"/>
      <w:lvlText w:val="o"/>
      <w:lvlJc w:val="left"/>
      <w:pPr>
        <w:ind w:left="5691" w:hanging="360"/>
      </w:pPr>
      <w:rPr>
        <w:rFonts w:ascii="Courier New" w:hAnsi="Courier New" w:cs="Courier New" w:hint="default"/>
      </w:rPr>
    </w:lvl>
    <w:lvl w:ilvl="8" w:tplc="0C090005" w:tentative="1">
      <w:start w:val="1"/>
      <w:numFmt w:val="bullet"/>
      <w:lvlText w:val=""/>
      <w:lvlJc w:val="left"/>
      <w:pPr>
        <w:ind w:left="6411" w:hanging="360"/>
      </w:pPr>
      <w:rPr>
        <w:rFonts w:ascii="Wingdings" w:hAnsi="Wingdings" w:hint="default"/>
      </w:rPr>
    </w:lvl>
  </w:abstractNum>
  <w:abstractNum w:abstractNumId="1" w15:restartNumberingAfterBreak="0">
    <w:nsid w:val="096212A0"/>
    <w:multiLevelType w:val="hybridMultilevel"/>
    <w:tmpl w:val="959031E0"/>
    <w:lvl w:ilvl="0" w:tplc="EA2AF152">
      <w:start w:val="1"/>
      <w:numFmt w:val="bullet"/>
      <w:lvlText w:val="–"/>
      <w:lvlJc w:val="left"/>
      <w:pPr>
        <w:ind w:left="347" w:hanging="227"/>
      </w:pPr>
      <w:rPr>
        <w:rFonts w:ascii="Century Gothic" w:eastAsia="Century Gothic" w:hAnsi="Century Gothic" w:cs="Century Gothic" w:hint="default"/>
        <w:color w:val="00AEEF"/>
        <w:spacing w:val="-10"/>
        <w:w w:val="100"/>
        <w:sz w:val="20"/>
        <w:szCs w:val="20"/>
      </w:rPr>
    </w:lvl>
    <w:lvl w:ilvl="1" w:tplc="839C6BCA">
      <w:start w:val="1"/>
      <w:numFmt w:val="bullet"/>
      <w:lvlText w:val="•"/>
      <w:lvlJc w:val="left"/>
      <w:pPr>
        <w:ind w:left="840" w:hanging="227"/>
      </w:pPr>
      <w:rPr>
        <w:rFonts w:hint="default"/>
      </w:rPr>
    </w:lvl>
    <w:lvl w:ilvl="2" w:tplc="9380FBE2">
      <w:start w:val="1"/>
      <w:numFmt w:val="bullet"/>
      <w:lvlText w:val="•"/>
      <w:lvlJc w:val="left"/>
      <w:pPr>
        <w:ind w:left="1341" w:hanging="227"/>
      </w:pPr>
      <w:rPr>
        <w:rFonts w:hint="default"/>
      </w:rPr>
    </w:lvl>
    <w:lvl w:ilvl="3" w:tplc="96A83454">
      <w:start w:val="1"/>
      <w:numFmt w:val="bullet"/>
      <w:lvlText w:val="•"/>
      <w:lvlJc w:val="left"/>
      <w:pPr>
        <w:ind w:left="1842" w:hanging="227"/>
      </w:pPr>
      <w:rPr>
        <w:rFonts w:hint="default"/>
      </w:rPr>
    </w:lvl>
    <w:lvl w:ilvl="4" w:tplc="C678928A">
      <w:start w:val="1"/>
      <w:numFmt w:val="bullet"/>
      <w:lvlText w:val="•"/>
      <w:lvlJc w:val="left"/>
      <w:pPr>
        <w:ind w:left="2343" w:hanging="227"/>
      </w:pPr>
      <w:rPr>
        <w:rFonts w:hint="default"/>
      </w:rPr>
    </w:lvl>
    <w:lvl w:ilvl="5" w:tplc="64CA212A">
      <w:start w:val="1"/>
      <w:numFmt w:val="bullet"/>
      <w:lvlText w:val="•"/>
      <w:lvlJc w:val="left"/>
      <w:pPr>
        <w:ind w:left="2844" w:hanging="227"/>
      </w:pPr>
      <w:rPr>
        <w:rFonts w:hint="default"/>
      </w:rPr>
    </w:lvl>
    <w:lvl w:ilvl="6" w:tplc="B1DE21BE">
      <w:start w:val="1"/>
      <w:numFmt w:val="bullet"/>
      <w:lvlText w:val="•"/>
      <w:lvlJc w:val="left"/>
      <w:pPr>
        <w:ind w:left="3345" w:hanging="227"/>
      </w:pPr>
      <w:rPr>
        <w:rFonts w:hint="default"/>
      </w:rPr>
    </w:lvl>
    <w:lvl w:ilvl="7" w:tplc="E3D627E8">
      <w:start w:val="1"/>
      <w:numFmt w:val="bullet"/>
      <w:lvlText w:val="•"/>
      <w:lvlJc w:val="left"/>
      <w:pPr>
        <w:ind w:left="3846" w:hanging="227"/>
      </w:pPr>
      <w:rPr>
        <w:rFonts w:hint="default"/>
      </w:rPr>
    </w:lvl>
    <w:lvl w:ilvl="8" w:tplc="4FB67A16">
      <w:start w:val="1"/>
      <w:numFmt w:val="bullet"/>
      <w:lvlText w:val="•"/>
      <w:lvlJc w:val="left"/>
      <w:pPr>
        <w:ind w:left="4347" w:hanging="227"/>
      </w:pPr>
      <w:rPr>
        <w:rFonts w:hint="default"/>
      </w:rPr>
    </w:lvl>
  </w:abstractNum>
  <w:abstractNum w:abstractNumId="2" w15:restartNumberingAfterBreak="0">
    <w:nsid w:val="18C90AD8"/>
    <w:multiLevelType w:val="hybridMultilevel"/>
    <w:tmpl w:val="611A91A2"/>
    <w:lvl w:ilvl="0" w:tplc="7C06785C">
      <w:start w:val="1"/>
      <w:numFmt w:val="bullet"/>
      <w:lvlText w:val="–"/>
      <w:lvlJc w:val="left"/>
      <w:pPr>
        <w:ind w:left="327" w:hanging="227"/>
      </w:pPr>
      <w:rPr>
        <w:rFonts w:ascii="Century Gothic" w:eastAsia="Century Gothic" w:hAnsi="Century Gothic" w:cs="Century Gothic" w:hint="default"/>
        <w:color w:val="00AEEF"/>
        <w:spacing w:val="-8"/>
        <w:w w:val="100"/>
        <w:sz w:val="20"/>
        <w:szCs w:val="20"/>
      </w:rPr>
    </w:lvl>
    <w:lvl w:ilvl="1" w:tplc="BC64DAFA">
      <w:start w:val="1"/>
      <w:numFmt w:val="bullet"/>
      <w:lvlText w:val="•"/>
      <w:lvlJc w:val="left"/>
      <w:pPr>
        <w:ind w:left="792" w:hanging="227"/>
      </w:pPr>
      <w:rPr>
        <w:rFonts w:hint="default"/>
      </w:rPr>
    </w:lvl>
    <w:lvl w:ilvl="2" w:tplc="5686A7FC">
      <w:start w:val="1"/>
      <w:numFmt w:val="bullet"/>
      <w:lvlText w:val="•"/>
      <w:lvlJc w:val="left"/>
      <w:pPr>
        <w:ind w:left="1265" w:hanging="227"/>
      </w:pPr>
      <w:rPr>
        <w:rFonts w:hint="default"/>
      </w:rPr>
    </w:lvl>
    <w:lvl w:ilvl="3" w:tplc="0FF6C5A4">
      <w:start w:val="1"/>
      <w:numFmt w:val="bullet"/>
      <w:lvlText w:val="•"/>
      <w:lvlJc w:val="left"/>
      <w:pPr>
        <w:ind w:left="1738" w:hanging="227"/>
      </w:pPr>
      <w:rPr>
        <w:rFonts w:hint="default"/>
      </w:rPr>
    </w:lvl>
    <w:lvl w:ilvl="4" w:tplc="97AC183A">
      <w:start w:val="1"/>
      <w:numFmt w:val="bullet"/>
      <w:lvlText w:val="•"/>
      <w:lvlJc w:val="left"/>
      <w:pPr>
        <w:ind w:left="2211" w:hanging="227"/>
      </w:pPr>
      <w:rPr>
        <w:rFonts w:hint="default"/>
      </w:rPr>
    </w:lvl>
    <w:lvl w:ilvl="5" w:tplc="E72414C2">
      <w:start w:val="1"/>
      <w:numFmt w:val="bullet"/>
      <w:lvlText w:val="•"/>
      <w:lvlJc w:val="left"/>
      <w:pPr>
        <w:ind w:left="2684" w:hanging="227"/>
      </w:pPr>
      <w:rPr>
        <w:rFonts w:hint="default"/>
      </w:rPr>
    </w:lvl>
    <w:lvl w:ilvl="6" w:tplc="D28251AA">
      <w:start w:val="1"/>
      <w:numFmt w:val="bullet"/>
      <w:lvlText w:val="•"/>
      <w:lvlJc w:val="left"/>
      <w:pPr>
        <w:ind w:left="3157" w:hanging="227"/>
      </w:pPr>
      <w:rPr>
        <w:rFonts w:hint="default"/>
      </w:rPr>
    </w:lvl>
    <w:lvl w:ilvl="7" w:tplc="7F8EF0BA">
      <w:start w:val="1"/>
      <w:numFmt w:val="bullet"/>
      <w:lvlText w:val="•"/>
      <w:lvlJc w:val="left"/>
      <w:pPr>
        <w:ind w:left="3630" w:hanging="227"/>
      </w:pPr>
      <w:rPr>
        <w:rFonts w:hint="default"/>
      </w:rPr>
    </w:lvl>
    <w:lvl w:ilvl="8" w:tplc="97400E6E">
      <w:start w:val="1"/>
      <w:numFmt w:val="bullet"/>
      <w:lvlText w:val="•"/>
      <w:lvlJc w:val="left"/>
      <w:pPr>
        <w:ind w:left="4103" w:hanging="227"/>
      </w:pPr>
      <w:rPr>
        <w:rFonts w:hint="default"/>
      </w:rPr>
    </w:lvl>
  </w:abstractNum>
  <w:abstractNum w:abstractNumId="3" w15:restartNumberingAfterBreak="0">
    <w:nsid w:val="20B20B1A"/>
    <w:multiLevelType w:val="hybridMultilevel"/>
    <w:tmpl w:val="1722C862"/>
    <w:lvl w:ilvl="0" w:tplc="CE422F00">
      <w:start w:val="1"/>
      <w:numFmt w:val="bullet"/>
      <w:lvlText w:val="–"/>
      <w:lvlJc w:val="left"/>
      <w:pPr>
        <w:ind w:left="327" w:hanging="227"/>
      </w:pPr>
      <w:rPr>
        <w:rFonts w:ascii="Century Gothic" w:eastAsia="Century Gothic" w:hAnsi="Century Gothic" w:cs="Century Gothic" w:hint="default"/>
        <w:color w:val="00AEEF"/>
        <w:spacing w:val="-13"/>
        <w:w w:val="100"/>
        <w:sz w:val="18"/>
        <w:szCs w:val="18"/>
      </w:rPr>
    </w:lvl>
    <w:lvl w:ilvl="1" w:tplc="5FF80DF0">
      <w:start w:val="1"/>
      <w:numFmt w:val="bullet"/>
      <w:lvlText w:val="•"/>
      <w:lvlJc w:val="left"/>
      <w:pPr>
        <w:ind w:left="806" w:hanging="227"/>
      </w:pPr>
      <w:rPr>
        <w:rFonts w:hint="default"/>
      </w:rPr>
    </w:lvl>
    <w:lvl w:ilvl="2" w:tplc="05FA9920">
      <w:start w:val="1"/>
      <w:numFmt w:val="bullet"/>
      <w:lvlText w:val="•"/>
      <w:lvlJc w:val="left"/>
      <w:pPr>
        <w:ind w:left="1293" w:hanging="227"/>
      </w:pPr>
      <w:rPr>
        <w:rFonts w:hint="default"/>
      </w:rPr>
    </w:lvl>
    <w:lvl w:ilvl="3" w:tplc="D8FE2484">
      <w:start w:val="1"/>
      <w:numFmt w:val="bullet"/>
      <w:lvlText w:val="•"/>
      <w:lvlJc w:val="left"/>
      <w:pPr>
        <w:ind w:left="1780" w:hanging="227"/>
      </w:pPr>
      <w:rPr>
        <w:rFonts w:hint="default"/>
      </w:rPr>
    </w:lvl>
    <w:lvl w:ilvl="4" w:tplc="4C90BD6A">
      <w:start w:val="1"/>
      <w:numFmt w:val="bullet"/>
      <w:lvlText w:val="•"/>
      <w:lvlJc w:val="left"/>
      <w:pPr>
        <w:ind w:left="2267" w:hanging="227"/>
      </w:pPr>
      <w:rPr>
        <w:rFonts w:hint="default"/>
      </w:rPr>
    </w:lvl>
    <w:lvl w:ilvl="5" w:tplc="423EAD48">
      <w:start w:val="1"/>
      <w:numFmt w:val="bullet"/>
      <w:lvlText w:val="•"/>
      <w:lvlJc w:val="left"/>
      <w:pPr>
        <w:ind w:left="2754" w:hanging="227"/>
      </w:pPr>
      <w:rPr>
        <w:rFonts w:hint="default"/>
      </w:rPr>
    </w:lvl>
    <w:lvl w:ilvl="6" w:tplc="0FC2DAE4">
      <w:start w:val="1"/>
      <w:numFmt w:val="bullet"/>
      <w:lvlText w:val="•"/>
      <w:lvlJc w:val="left"/>
      <w:pPr>
        <w:ind w:left="3241" w:hanging="227"/>
      </w:pPr>
      <w:rPr>
        <w:rFonts w:hint="default"/>
      </w:rPr>
    </w:lvl>
    <w:lvl w:ilvl="7" w:tplc="D54A1DAA">
      <w:start w:val="1"/>
      <w:numFmt w:val="bullet"/>
      <w:lvlText w:val="•"/>
      <w:lvlJc w:val="left"/>
      <w:pPr>
        <w:ind w:left="3728" w:hanging="227"/>
      </w:pPr>
      <w:rPr>
        <w:rFonts w:hint="default"/>
      </w:rPr>
    </w:lvl>
    <w:lvl w:ilvl="8" w:tplc="722202FA">
      <w:start w:val="1"/>
      <w:numFmt w:val="bullet"/>
      <w:lvlText w:val="•"/>
      <w:lvlJc w:val="left"/>
      <w:pPr>
        <w:ind w:left="4215" w:hanging="227"/>
      </w:pPr>
      <w:rPr>
        <w:rFonts w:hint="default"/>
      </w:rPr>
    </w:lvl>
  </w:abstractNum>
  <w:abstractNum w:abstractNumId="4" w15:restartNumberingAfterBreak="0">
    <w:nsid w:val="2D972925"/>
    <w:multiLevelType w:val="hybridMultilevel"/>
    <w:tmpl w:val="44921474"/>
    <w:lvl w:ilvl="0" w:tplc="E8349DA8">
      <w:start w:val="1"/>
      <w:numFmt w:val="bullet"/>
      <w:lvlText w:val="•"/>
      <w:lvlJc w:val="left"/>
      <w:pPr>
        <w:ind w:left="311" w:hanging="152"/>
      </w:pPr>
      <w:rPr>
        <w:rFonts w:ascii="Century Gothic" w:eastAsia="Century Gothic" w:hAnsi="Century Gothic" w:cs="Century Gothic" w:hint="default"/>
        <w:color w:val="231F20"/>
        <w:w w:val="100"/>
        <w:sz w:val="18"/>
        <w:szCs w:val="18"/>
      </w:rPr>
    </w:lvl>
    <w:lvl w:ilvl="1" w:tplc="D280F768">
      <w:start w:val="1"/>
      <w:numFmt w:val="bullet"/>
      <w:lvlText w:val="•"/>
      <w:lvlJc w:val="left"/>
      <w:pPr>
        <w:ind w:left="1340" w:hanging="152"/>
      </w:pPr>
      <w:rPr>
        <w:rFonts w:hint="default"/>
      </w:rPr>
    </w:lvl>
    <w:lvl w:ilvl="2" w:tplc="D43CBA1C">
      <w:start w:val="1"/>
      <w:numFmt w:val="bullet"/>
      <w:lvlText w:val="•"/>
      <w:lvlJc w:val="left"/>
      <w:pPr>
        <w:ind w:left="2360" w:hanging="152"/>
      </w:pPr>
      <w:rPr>
        <w:rFonts w:hint="default"/>
      </w:rPr>
    </w:lvl>
    <w:lvl w:ilvl="3" w:tplc="4EFEC608">
      <w:start w:val="1"/>
      <w:numFmt w:val="bullet"/>
      <w:lvlText w:val="•"/>
      <w:lvlJc w:val="left"/>
      <w:pPr>
        <w:ind w:left="3381" w:hanging="152"/>
      </w:pPr>
      <w:rPr>
        <w:rFonts w:hint="default"/>
      </w:rPr>
    </w:lvl>
    <w:lvl w:ilvl="4" w:tplc="D252433C">
      <w:start w:val="1"/>
      <w:numFmt w:val="bullet"/>
      <w:lvlText w:val="•"/>
      <w:lvlJc w:val="left"/>
      <w:pPr>
        <w:ind w:left="4401" w:hanging="152"/>
      </w:pPr>
      <w:rPr>
        <w:rFonts w:hint="default"/>
      </w:rPr>
    </w:lvl>
    <w:lvl w:ilvl="5" w:tplc="E2F8C4CA">
      <w:start w:val="1"/>
      <w:numFmt w:val="bullet"/>
      <w:lvlText w:val="•"/>
      <w:lvlJc w:val="left"/>
      <w:pPr>
        <w:ind w:left="5422" w:hanging="152"/>
      </w:pPr>
      <w:rPr>
        <w:rFonts w:hint="default"/>
      </w:rPr>
    </w:lvl>
    <w:lvl w:ilvl="6" w:tplc="F5A43C58">
      <w:start w:val="1"/>
      <w:numFmt w:val="bullet"/>
      <w:lvlText w:val="•"/>
      <w:lvlJc w:val="left"/>
      <w:pPr>
        <w:ind w:left="6442" w:hanging="152"/>
      </w:pPr>
      <w:rPr>
        <w:rFonts w:hint="default"/>
      </w:rPr>
    </w:lvl>
    <w:lvl w:ilvl="7" w:tplc="4E4C30B0">
      <w:start w:val="1"/>
      <w:numFmt w:val="bullet"/>
      <w:lvlText w:val="•"/>
      <w:lvlJc w:val="left"/>
      <w:pPr>
        <w:ind w:left="7463" w:hanging="152"/>
      </w:pPr>
      <w:rPr>
        <w:rFonts w:hint="default"/>
      </w:rPr>
    </w:lvl>
    <w:lvl w:ilvl="8" w:tplc="366060F8">
      <w:start w:val="1"/>
      <w:numFmt w:val="bullet"/>
      <w:lvlText w:val="•"/>
      <w:lvlJc w:val="left"/>
      <w:pPr>
        <w:ind w:left="8483" w:hanging="152"/>
      </w:pPr>
      <w:rPr>
        <w:rFonts w:hint="default"/>
      </w:rPr>
    </w:lvl>
  </w:abstractNum>
  <w:abstractNum w:abstractNumId="5" w15:restartNumberingAfterBreak="0">
    <w:nsid w:val="34FC6052"/>
    <w:multiLevelType w:val="hybridMultilevel"/>
    <w:tmpl w:val="EA847D2C"/>
    <w:lvl w:ilvl="0" w:tplc="98CA1180">
      <w:start w:val="1"/>
      <w:numFmt w:val="bullet"/>
      <w:lvlText w:val="–"/>
      <w:lvlJc w:val="left"/>
      <w:pPr>
        <w:ind w:left="327" w:hanging="227"/>
      </w:pPr>
      <w:rPr>
        <w:rFonts w:ascii="Century Gothic" w:eastAsia="Century Gothic" w:hAnsi="Century Gothic" w:cs="Century Gothic" w:hint="default"/>
        <w:color w:val="00AEEF"/>
        <w:spacing w:val="-13"/>
        <w:w w:val="100"/>
        <w:sz w:val="18"/>
        <w:szCs w:val="18"/>
      </w:rPr>
    </w:lvl>
    <w:lvl w:ilvl="1" w:tplc="C756A97E">
      <w:start w:val="1"/>
      <w:numFmt w:val="bullet"/>
      <w:lvlText w:val="•"/>
      <w:lvlJc w:val="left"/>
      <w:pPr>
        <w:ind w:left="787" w:hanging="227"/>
      </w:pPr>
      <w:rPr>
        <w:rFonts w:hint="default"/>
      </w:rPr>
    </w:lvl>
    <w:lvl w:ilvl="2" w:tplc="C2CC98EC">
      <w:start w:val="1"/>
      <w:numFmt w:val="bullet"/>
      <w:lvlText w:val="•"/>
      <w:lvlJc w:val="left"/>
      <w:pPr>
        <w:ind w:left="1255" w:hanging="227"/>
      </w:pPr>
      <w:rPr>
        <w:rFonts w:hint="default"/>
      </w:rPr>
    </w:lvl>
    <w:lvl w:ilvl="3" w:tplc="18DE6724">
      <w:start w:val="1"/>
      <w:numFmt w:val="bullet"/>
      <w:lvlText w:val="•"/>
      <w:lvlJc w:val="left"/>
      <w:pPr>
        <w:ind w:left="1723" w:hanging="227"/>
      </w:pPr>
      <w:rPr>
        <w:rFonts w:hint="default"/>
      </w:rPr>
    </w:lvl>
    <w:lvl w:ilvl="4" w:tplc="48F4387A">
      <w:start w:val="1"/>
      <w:numFmt w:val="bullet"/>
      <w:lvlText w:val="•"/>
      <w:lvlJc w:val="left"/>
      <w:pPr>
        <w:ind w:left="2190" w:hanging="227"/>
      </w:pPr>
      <w:rPr>
        <w:rFonts w:hint="default"/>
      </w:rPr>
    </w:lvl>
    <w:lvl w:ilvl="5" w:tplc="F2F8A28E">
      <w:start w:val="1"/>
      <w:numFmt w:val="bullet"/>
      <w:lvlText w:val="•"/>
      <w:lvlJc w:val="left"/>
      <w:pPr>
        <w:ind w:left="2658" w:hanging="227"/>
      </w:pPr>
      <w:rPr>
        <w:rFonts w:hint="default"/>
      </w:rPr>
    </w:lvl>
    <w:lvl w:ilvl="6" w:tplc="AB2A1B54">
      <w:start w:val="1"/>
      <w:numFmt w:val="bullet"/>
      <w:lvlText w:val="•"/>
      <w:lvlJc w:val="left"/>
      <w:pPr>
        <w:ind w:left="3126" w:hanging="227"/>
      </w:pPr>
      <w:rPr>
        <w:rFonts w:hint="default"/>
      </w:rPr>
    </w:lvl>
    <w:lvl w:ilvl="7" w:tplc="C89EDCC0">
      <w:start w:val="1"/>
      <w:numFmt w:val="bullet"/>
      <w:lvlText w:val="•"/>
      <w:lvlJc w:val="left"/>
      <w:pPr>
        <w:ind w:left="3593" w:hanging="227"/>
      </w:pPr>
      <w:rPr>
        <w:rFonts w:hint="default"/>
      </w:rPr>
    </w:lvl>
    <w:lvl w:ilvl="8" w:tplc="7218613A">
      <w:start w:val="1"/>
      <w:numFmt w:val="bullet"/>
      <w:lvlText w:val="•"/>
      <w:lvlJc w:val="left"/>
      <w:pPr>
        <w:ind w:left="4061" w:hanging="227"/>
      </w:pPr>
      <w:rPr>
        <w:rFonts w:hint="default"/>
      </w:rPr>
    </w:lvl>
  </w:abstractNum>
  <w:abstractNum w:abstractNumId="6" w15:restartNumberingAfterBreak="0">
    <w:nsid w:val="67061FD6"/>
    <w:multiLevelType w:val="multilevel"/>
    <w:tmpl w:val="34C6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F57663"/>
    <w:multiLevelType w:val="hybridMultilevel"/>
    <w:tmpl w:val="098C925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8" w15:restartNumberingAfterBreak="0">
    <w:nsid w:val="7CB0347B"/>
    <w:multiLevelType w:val="hybridMultilevel"/>
    <w:tmpl w:val="1DF0E090"/>
    <w:lvl w:ilvl="0" w:tplc="95543830">
      <w:start w:val="1"/>
      <w:numFmt w:val="bullet"/>
      <w:lvlText w:val="–"/>
      <w:lvlJc w:val="left"/>
      <w:pPr>
        <w:ind w:left="347" w:hanging="227"/>
      </w:pPr>
      <w:rPr>
        <w:rFonts w:ascii="Century Gothic" w:eastAsia="Century Gothic" w:hAnsi="Century Gothic" w:cs="Century Gothic" w:hint="default"/>
        <w:color w:val="00AEEF"/>
        <w:spacing w:val="-9"/>
        <w:w w:val="100"/>
        <w:sz w:val="20"/>
        <w:szCs w:val="20"/>
      </w:rPr>
    </w:lvl>
    <w:lvl w:ilvl="1" w:tplc="07A210D6">
      <w:start w:val="1"/>
      <w:numFmt w:val="bullet"/>
      <w:lvlText w:val="•"/>
      <w:lvlJc w:val="left"/>
      <w:pPr>
        <w:ind w:left="815" w:hanging="227"/>
      </w:pPr>
      <w:rPr>
        <w:rFonts w:hint="default"/>
      </w:rPr>
    </w:lvl>
    <w:lvl w:ilvl="2" w:tplc="2F1A8574">
      <w:start w:val="1"/>
      <w:numFmt w:val="bullet"/>
      <w:lvlText w:val="•"/>
      <w:lvlJc w:val="left"/>
      <w:pPr>
        <w:ind w:left="1291" w:hanging="227"/>
      </w:pPr>
      <w:rPr>
        <w:rFonts w:hint="default"/>
      </w:rPr>
    </w:lvl>
    <w:lvl w:ilvl="3" w:tplc="5BE86DFE">
      <w:start w:val="1"/>
      <w:numFmt w:val="bullet"/>
      <w:lvlText w:val="•"/>
      <w:lvlJc w:val="left"/>
      <w:pPr>
        <w:ind w:left="1766" w:hanging="227"/>
      </w:pPr>
      <w:rPr>
        <w:rFonts w:hint="default"/>
      </w:rPr>
    </w:lvl>
    <w:lvl w:ilvl="4" w:tplc="1C14A4D8">
      <w:start w:val="1"/>
      <w:numFmt w:val="bullet"/>
      <w:lvlText w:val="•"/>
      <w:lvlJc w:val="left"/>
      <w:pPr>
        <w:ind w:left="2242" w:hanging="227"/>
      </w:pPr>
      <w:rPr>
        <w:rFonts w:hint="default"/>
      </w:rPr>
    </w:lvl>
    <w:lvl w:ilvl="5" w:tplc="610EBFA2">
      <w:start w:val="1"/>
      <w:numFmt w:val="bullet"/>
      <w:lvlText w:val="•"/>
      <w:lvlJc w:val="left"/>
      <w:pPr>
        <w:ind w:left="2718" w:hanging="227"/>
      </w:pPr>
      <w:rPr>
        <w:rFonts w:hint="default"/>
      </w:rPr>
    </w:lvl>
    <w:lvl w:ilvl="6" w:tplc="23CCC4D2">
      <w:start w:val="1"/>
      <w:numFmt w:val="bullet"/>
      <w:lvlText w:val="•"/>
      <w:lvlJc w:val="left"/>
      <w:pPr>
        <w:ind w:left="3193" w:hanging="227"/>
      </w:pPr>
      <w:rPr>
        <w:rFonts w:hint="default"/>
      </w:rPr>
    </w:lvl>
    <w:lvl w:ilvl="7" w:tplc="5F5470EA">
      <w:start w:val="1"/>
      <w:numFmt w:val="bullet"/>
      <w:lvlText w:val="•"/>
      <w:lvlJc w:val="left"/>
      <w:pPr>
        <w:ind w:left="3669" w:hanging="227"/>
      </w:pPr>
      <w:rPr>
        <w:rFonts w:hint="default"/>
      </w:rPr>
    </w:lvl>
    <w:lvl w:ilvl="8" w:tplc="26CEFD9E">
      <w:start w:val="1"/>
      <w:numFmt w:val="bullet"/>
      <w:lvlText w:val="•"/>
      <w:lvlJc w:val="left"/>
      <w:pPr>
        <w:ind w:left="4145" w:hanging="227"/>
      </w:pPr>
      <w:rPr>
        <w:rFonts w:hint="default"/>
      </w:rPr>
    </w:lvl>
  </w:abstractNum>
  <w:num w:numId="1" w16cid:durableId="1005399366">
    <w:abstractNumId w:val="3"/>
  </w:num>
  <w:num w:numId="2" w16cid:durableId="737753669">
    <w:abstractNumId w:val="5"/>
  </w:num>
  <w:num w:numId="3" w16cid:durableId="1624654729">
    <w:abstractNumId w:val="4"/>
  </w:num>
  <w:num w:numId="4" w16cid:durableId="155463003">
    <w:abstractNumId w:val="6"/>
  </w:num>
  <w:num w:numId="5" w16cid:durableId="1825006309">
    <w:abstractNumId w:val="8"/>
  </w:num>
  <w:num w:numId="6" w16cid:durableId="1226335849">
    <w:abstractNumId w:val="2"/>
  </w:num>
  <w:num w:numId="7" w16cid:durableId="891580596">
    <w:abstractNumId w:val="0"/>
  </w:num>
  <w:num w:numId="8" w16cid:durableId="181943098">
    <w:abstractNumId w:val="1"/>
  </w:num>
  <w:num w:numId="9" w16cid:durableId="1200319175">
    <w:abstractNumId w:val="7"/>
  </w:num>
  <w:num w:numId="10" w16cid:durableId="983046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A5A"/>
    <w:rsid w:val="000060E3"/>
    <w:rsid w:val="00010F66"/>
    <w:rsid w:val="00043733"/>
    <w:rsid w:val="00044546"/>
    <w:rsid w:val="00064599"/>
    <w:rsid w:val="00093952"/>
    <w:rsid w:val="000A6A45"/>
    <w:rsid w:val="00117C1E"/>
    <w:rsid w:val="001205CD"/>
    <w:rsid w:val="00122A66"/>
    <w:rsid w:val="00135D87"/>
    <w:rsid w:val="00153329"/>
    <w:rsid w:val="00176FE4"/>
    <w:rsid w:val="0018387A"/>
    <w:rsid w:val="001852AD"/>
    <w:rsid w:val="001E0330"/>
    <w:rsid w:val="001E3778"/>
    <w:rsid w:val="0021319B"/>
    <w:rsid w:val="0024096E"/>
    <w:rsid w:val="00241FA7"/>
    <w:rsid w:val="00260998"/>
    <w:rsid w:val="00271E6D"/>
    <w:rsid w:val="0028448F"/>
    <w:rsid w:val="002A3837"/>
    <w:rsid w:val="002A693F"/>
    <w:rsid w:val="002F2E2C"/>
    <w:rsid w:val="00301F4E"/>
    <w:rsid w:val="003024B1"/>
    <w:rsid w:val="003103BE"/>
    <w:rsid w:val="003403A8"/>
    <w:rsid w:val="00353AF8"/>
    <w:rsid w:val="00393471"/>
    <w:rsid w:val="003A5ED9"/>
    <w:rsid w:val="003B6480"/>
    <w:rsid w:val="00426809"/>
    <w:rsid w:val="004565D7"/>
    <w:rsid w:val="00473636"/>
    <w:rsid w:val="00483830"/>
    <w:rsid w:val="004A7C6F"/>
    <w:rsid w:val="004B20D7"/>
    <w:rsid w:val="004E73BA"/>
    <w:rsid w:val="004F595D"/>
    <w:rsid w:val="00534A66"/>
    <w:rsid w:val="005555BF"/>
    <w:rsid w:val="005651DB"/>
    <w:rsid w:val="00590034"/>
    <w:rsid w:val="00590238"/>
    <w:rsid w:val="005C2B48"/>
    <w:rsid w:val="005D2AF8"/>
    <w:rsid w:val="0060190D"/>
    <w:rsid w:val="00604708"/>
    <w:rsid w:val="0061240A"/>
    <w:rsid w:val="00623FB7"/>
    <w:rsid w:val="00672847"/>
    <w:rsid w:val="00685384"/>
    <w:rsid w:val="006A6FF8"/>
    <w:rsid w:val="006B1B45"/>
    <w:rsid w:val="006B2620"/>
    <w:rsid w:val="006B52C6"/>
    <w:rsid w:val="006D083A"/>
    <w:rsid w:val="006D6F9C"/>
    <w:rsid w:val="00713BFB"/>
    <w:rsid w:val="007148C8"/>
    <w:rsid w:val="00731A88"/>
    <w:rsid w:val="00734B35"/>
    <w:rsid w:val="007379F3"/>
    <w:rsid w:val="007417B6"/>
    <w:rsid w:val="007545EE"/>
    <w:rsid w:val="007A09A2"/>
    <w:rsid w:val="007D4EF7"/>
    <w:rsid w:val="00840640"/>
    <w:rsid w:val="008737A5"/>
    <w:rsid w:val="00887386"/>
    <w:rsid w:val="0089157F"/>
    <w:rsid w:val="0089255B"/>
    <w:rsid w:val="008A3747"/>
    <w:rsid w:val="008A7ED8"/>
    <w:rsid w:val="008E0A5A"/>
    <w:rsid w:val="00904C01"/>
    <w:rsid w:val="00923481"/>
    <w:rsid w:val="00941E08"/>
    <w:rsid w:val="00975C84"/>
    <w:rsid w:val="00997D49"/>
    <w:rsid w:val="009A50A2"/>
    <w:rsid w:val="009A6CA9"/>
    <w:rsid w:val="009B6D53"/>
    <w:rsid w:val="009C1D5E"/>
    <w:rsid w:val="009D2194"/>
    <w:rsid w:val="00A254BE"/>
    <w:rsid w:val="00A3640E"/>
    <w:rsid w:val="00A50A7D"/>
    <w:rsid w:val="00A724BC"/>
    <w:rsid w:val="00A9057F"/>
    <w:rsid w:val="00A91160"/>
    <w:rsid w:val="00AC14D3"/>
    <w:rsid w:val="00AC68D6"/>
    <w:rsid w:val="00AE38DE"/>
    <w:rsid w:val="00B21001"/>
    <w:rsid w:val="00B27DAE"/>
    <w:rsid w:val="00B30F78"/>
    <w:rsid w:val="00B31D4C"/>
    <w:rsid w:val="00B37DA6"/>
    <w:rsid w:val="00B41DA8"/>
    <w:rsid w:val="00B4442C"/>
    <w:rsid w:val="00B87794"/>
    <w:rsid w:val="00B956B6"/>
    <w:rsid w:val="00BD2B67"/>
    <w:rsid w:val="00C01126"/>
    <w:rsid w:val="00C113A2"/>
    <w:rsid w:val="00C1583A"/>
    <w:rsid w:val="00C314B9"/>
    <w:rsid w:val="00C61BEF"/>
    <w:rsid w:val="00C9623B"/>
    <w:rsid w:val="00CA4F3E"/>
    <w:rsid w:val="00CB5307"/>
    <w:rsid w:val="00CD3632"/>
    <w:rsid w:val="00CD7337"/>
    <w:rsid w:val="00CE19B7"/>
    <w:rsid w:val="00D02AF3"/>
    <w:rsid w:val="00D168ED"/>
    <w:rsid w:val="00D222D1"/>
    <w:rsid w:val="00D25B6B"/>
    <w:rsid w:val="00D665BD"/>
    <w:rsid w:val="00DA0E17"/>
    <w:rsid w:val="00DC001D"/>
    <w:rsid w:val="00DC5242"/>
    <w:rsid w:val="00DD2925"/>
    <w:rsid w:val="00DE7500"/>
    <w:rsid w:val="00E33F98"/>
    <w:rsid w:val="00E3556C"/>
    <w:rsid w:val="00E4583A"/>
    <w:rsid w:val="00E45E0D"/>
    <w:rsid w:val="00E8637C"/>
    <w:rsid w:val="00EA0D27"/>
    <w:rsid w:val="00EA1EE0"/>
    <w:rsid w:val="00EE5CA4"/>
    <w:rsid w:val="00EE7EA5"/>
    <w:rsid w:val="00F175A9"/>
    <w:rsid w:val="00F24BFC"/>
    <w:rsid w:val="00F41E7D"/>
    <w:rsid w:val="00F479B2"/>
    <w:rsid w:val="00F91D71"/>
    <w:rsid w:val="00FA1C2E"/>
    <w:rsid w:val="00FB749D"/>
    <w:rsid w:val="00FF660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o:shapelayout v:ext="edit">
      <o:idmap v:ext="edit" data="1"/>
    </o:shapelayout>
  </w:shapeDefaults>
  <w:decimalSymbol w:val="."/>
  <w:listSeparator w:val=","/>
  <w14:docId w14:val="71CD045F"/>
  <w15:docId w15:val="{94B037AF-8AE7-4515-8B21-DB723007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entury Gothic" w:eastAsia="Century Gothic" w:hAnsi="Century Gothic" w:cs="Century Gothic"/>
    </w:rPr>
  </w:style>
  <w:style w:type="paragraph" w:styleId="Heading1">
    <w:name w:val="heading 1"/>
    <w:basedOn w:val="Normal"/>
    <w:uiPriority w:val="1"/>
    <w:qFormat/>
    <w:pPr>
      <w:spacing w:before="157"/>
      <w:ind w:left="100" w:right="31"/>
      <w:outlineLvl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84"/>
      <w:ind w:left="327" w:hanging="227"/>
    </w:pPr>
  </w:style>
  <w:style w:type="paragraph" w:customStyle="1" w:styleId="TableParagraph">
    <w:name w:val="Table Paragraph"/>
    <w:basedOn w:val="Normal"/>
    <w:uiPriority w:val="1"/>
    <w:qFormat/>
    <w:pPr>
      <w:spacing w:before="113"/>
      <w:ind w:left="160"/>
    </w:pPr>
  </w:style>
  <w:style w:type="paragraph" w:styleId="Header">
    <w:name w:val="header"/>
    <w:basedOn w:val="Normal"/>
    <w:link w:val="HeaderChar"/>
    <w:uiPriority w:val="99"/>
    <w:unhideWhenUsed/>
    <w:rsid w:val="00F175A9"/>
    <w:pPr>
      <w:tabs>
        <w:tab w:val="center" w:pos="4320"/>
        <w:tab w:val="right" w:pos="8640"/>
      </w:tabs>
    </w:pPr>
  </w:style>
  <w:style w:type="character" w:customStyle="1" w:styleId="HeaderChar">
    <w:name w:val="Header Char"/>
    <w:basedOn w:val="DefaultParagraphFont"/>
    <w:link w:val="Header"/>
    <w:uiPriority w:val="99"/>
    <w:rsid w:val="00F175A9"/>
    <w:rPr>
      <w:rFonts w:ascii="Century Gothic" w:eastAsia="Century Gothic" w:hAnsi="Century Gothic" w:cs="Century Gothic"/>
    </w:rPr>
  </w:style>
  <w:style w:type="paragraph" w:styleId="Footer">
    <w:name w:val="footer"/>
    <w:basedOn w:val="Normal"/>
    <w:link w:val="FooterChar"/>
    <w:uiPriority w:val="99"/>
    <w:unhideWhenUsed/>
    <w:rsid w:val="00F175A9"/>
    <w:pPr>
      <w:tabs>
        <w:tab w:val="center" w:pos="4320"/>
        <w:tab w:val="right" w:pos="8640"/>
      </w:tabs>
    </w:pPr>
  </w:style>
  <w:style w:type="character" w:customStyle="1" w:styleId="FooterChar">
    <w:name w:val="Footer Char"/>
    <w:basedOn w:val="DefaultParagraphFont"/>
    <w:link w:val="Footer"/>
    <w:uiPriority w:val="99"/>
    <w:rsid w:val="00F175A9"/>
    <w:rPr>
      <w:rFonts w:ascii="Century Gothic" w:eastAsia="Century Gothic" w:hAnsi="Century Gothic" w:cs="Century Gothic"/>
    </w:rPr>
  </w:style>
  <w:style w:type="paragraph" w:styleId="BalloonText">
    <w:name w:val="Balloon Text"/>
    <w:basedOn w:val="Normal"/>
    <w:link w:val="BalloonTextChar"/>
    <w:uiPriority w:val="99"/>
    <w:semiHidden/>
    <w:unhideWhenUsed/>
    <w:rsid w:val="00F175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75A9"/>
    <w:rPr>
      <w:rFonts w:ascii="Lucida Grande" w:eastAsia="Century Gothic" w:hAnsi="Lucida Grande" w:cs="Lucida Grande"/>
      <w:sz w:val="18"/>
      <w:szCs w:val="18"/>
    </w:rPr>
  </w:style>
  <w:style w:type="paragraph" w:styleId="NormalWeb">
    <w:name w:val="Normal (Web)"/>
    <w:basedOn w:val="Normal"/>
    <w:uiPriority w:val="99"/>
    <w:unhideWhenUsed/>
    <w:rsid w:val="00623FB7"/>
    <w:pPr>
      <w:widowControl/>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590238"/>
    <w:pPr>
      <w:widowControl/>
    </w:pPr>
    <w:rPr>
      <w:rFonts w:ascii="Century Gothic" w:eastAsia="Century Gothic" w:hAnsi="Century Gothic" w:cs="Century Gothic"/>
    </w:rPr>
  </w:style>
  <w:style w:type="character" w:styleId="CommentReference">
    <w:name w:val="annotation reference"/>
    <w:basedOn w:val="DefaultParagraphFont"/>
    <w:uiPriority w:val="99"/>
    <w:semiHidden/>
    <w:unhideWhenUsed/>
    <w:rsid w:val="00F24BFC"/>
    <w:rPr>
      <w:sz w:val="16"/>
      <w:szCs w:val="16"/>
    </w:rPr>
  </w:style>
  <w:style w:type="paragraph" w:styleId="CommentText">
    <w:name w:val="annotation text"/>
    <w:basedOn w:val="Normal"/>
    <w:link w:val="CommentTextChar"/>
    <w:uiPriority w:val="99"/>
    <w:unhideWhenUsed/>
    <w:rsid w:val="00F24BFC"/>
    <w:rPr>
      <w:sz w:val="20"/>
      <w:szCs w:val="20"/>
    </w:rPr>
  </w:style>
  <w:style w:type="character" w:customStyle="1" w:styleId="CommentTextChar">
    <w:name w:val="Comment Text Char"/>
    <w:basedOn w:val="DefaultParagraphFont"/>
    <w:link w:val="CommentText"/>
    <w:uiPriority w:val="99"/>
    <w:rsid w:val="00F24BFC"/>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F24BFC"/>
    <w:rPr>
      <w:b/>
      <w:bCs/>
    </w:rPr>
  </w:style>
  <w:style w:type="character" w:customStyle="1" w:styleId="CommentSubjectChar">
    <w:name w:val="Comment Subject Char"/>
    <w:basedOn w:val="CommentTextChar"/>
    <w:link w:val="CommentSubject"/>
    <w:uiPriority w:val="99"/>
    <w:semiHidden/>
    <w:rsid w:val="00F24BFC"/>
    <w:rPr>
      <w:rFonts w:ascii="Century Gothic" w:eastAsia="Century Gothic" w:hAnsi="Century Gothic" w:cs="Century Gothic"/>
      <w:b/>
      <w:bCs/>
      <w:sz w:val="20"/>
      <w:szCs w:val="20"/>
    </w:rPr>
  </w:style>
  <w:style w:type="paragraph" w:styleId="NoSpacing">
    <w:name w:val="No Spacing"/>
    <w:uiPriority w:val="1"/>
    <w:qFormat/>
    <w:rsid w:val="00D25B6B"/>
    <w:rPr>
      <w:rFonts w:ascii="Century Gothic" w:eastAsia="Century Gothic" w:hAnsi="Century Gothic" w:cs="Century Gothic"/>
    </w:rPr>
  </w:style>
  <w:style w:type="table" w:styleId="TableGrid">
    <w:name w:val="Table Grid"/>
    <w:basedOn w:val="TableNormal"/>
    <w:uiPriority w:val="59"/>
    <w:rsid w:val="00D25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95638">
      <w:bodyDiv w:val="1"/>
      <w:marLeft w:val="0"/>
      <w:marRight w:val="0"/>
      <w:marTop w:val="0"/>
      <w:marBottom w:val="0"/>
      <w:divBdr>
        <w:top w:val="none" w:sz="0" w:space="0" w:color="auto"/>
        <w:left w:val="none" w:sz="0" w:space="0" w:color="auto"/>
        <w:bottom w:val="none" w:sz="0" w:space="0" w:color="auto"/>
        <w:right w:val="none" w:sz="0" w:space="0" w:color="auto"/>
      </w:divBdr>
    </w:div>
    <w:div w:id="327364304">
      <w:bodyDiv w:val="1"/>
      <w:marLeft w:val="0"/>
      <w:marRight w:val="0"/>
      <w:marTop w:val="0"/>
      <w:marBottom w:val="0"/>
      <w:divBdr>
        <w:top w:val="none" w:sz="0" w:space="0" w:color="auto"/>
        <w:left w:val="none" w:sz="0" w:space="0" w:color="auto"/>
        <w:bottom w:val="none" w:sz="0" w:space="0" w:color="auto"/>
        <w:right w:val="none" w:sz="0" w:space="0" w:color="auto"/>
      </w:divBdr>
    </w:div>
    <w:div w:id="650865334">
      <w:bodyDiv w:val="1"/>
      <w:marLeft w:val="0"/>
      <w:marRight w:val="0"/>
      <w:marTop w:val="0"/>
      <w:marBottom w:val="0"/>
      <w:divBdr>
        <w:top w:val="none" w:sz="0" w:space="0" w:color="auto"/>
        <w:left w:val="none" w:sz="0" w:space="0" w:color="auto"/>
        <w:bottom w:val="none" w:sz="0" w:space="0" w:color="auto"/>
        <w:right w:val="none" w:sz="0" w:space="0" w:color="auto"/>
      </w:divBdr>
    </w:div>
    <w:div w:id="1179078476">
      <w:bodyDiv w:val="1"/>
      <w:marLeft w:val="0"/>
      <w:marRight w:val="0"/>
      <w:marTop w:val="0"/>
      <w:marBottom w:val="0"/>
      <w:divBdr>
        <w:top w:val="none" w:sz="0" w:space="0" w:color="auto"/>
        <w:left w:val="none" w:sz="0" w:space="0" w:color="auto"/>
        <w:bottom w:val="none" w:sz="0" w:space="0" w:color="auto"/>
        <w:right w:val="none" w:sz="0" w:space="0" w:color="auto"/>
      </w:divBdr>
    </w:div>
    <w:div w:id="2113015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1EBF3-1749-4FB9-8540-68169FE64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992</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at+m integrated marketing</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Tierney</dc:creator>
  <cp:lastModifiedBy>Jennie Murden</cp:lastModifiedBy>
  <cp:revision>5</cp:revision>
  <cp:lastPrinted>2025-06-04T06:05:00Z</cp:lastPrinted>
  <dcterms:created xsi:type="dcterms:W3CDTF">2025-07-17T02:24:00Z</dcterms:created>
  <dcterms:modified xsi:type="dcterms:W3CDTF">2025-07-28T05:53:00Z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2016-08-04T00:00:00Z</vt:filetime>
  </property>
  <property fmtid="{D5CDD505-2E9C-101B-9397-08002B2CF9AE}" pid="3" name="Creator">
    <vt:lpwstr>Adobe InDesign CC 2015 (Macintosh)</vt:lpwstr>
  </property>
  <property fmtid="{D5CDD505-2E9C-101B-9397-08002B2CF9AE}" pid="4" name="LastSaved">
    <vt:filetime>2016-08-04T00:00:00Z</vt:filetime>
  </property>
  <property fmtid="{D5CDD505-2E9C-101B-9397-08002B2CF9AE}" pid="5" name="GrammarlyDocumentId">
    <vt:lpwstr>01dbd3815990cb1cd13323fb5c4c4b470416fc01949c83828dc5c6547fdbdf6f</vt:lpwstr>
  </property>
</Properties>
</file>