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1FA55" w14:textId="77777777" w:rsidR="00FE3DAB" w:rsidRPr="00D95708" w:rsidRDefault="00FE3DAB" w:rsidP="00FE3DAB">
      <w:pPr>
        <w:jc w:val="center"/>
        <w:rPr>
          <w:rFonts w:asciiTheme="minorHAnsi" w:hAnsiTheme="minorHAnsi"/>
          <w:sz w:val="24"/>
          <w:szCs w:val="24"/>
        </w:rPr>
      </w:pPr>
      <w:bookmarkStart w:id="0" w:name="_Hlk132904216"/>
      <w:bookmarkStart w:id="1" w:name="_Hlk132875844"/>
      <w:r w:rsidRPr="00D95708">
        <w:rPr>
          <w:rFonts w:asciiTheme="minorHAnsi" w:hAnsiTheme="minorHAnsi"/>
          <w:noProof/>
          <w:sz w:val="24"/>
          <w:szCs w:val="24"/>
        </w:rPr>
        <w:drawing>
          <wp:inline distT="0" distB="0" distL="0" distR="0" wp14:anchorId="0659B9C8" wp14:editId="6E52119F">
            <wp:extent cx="3616374" cy="76979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16374" cy="769799"/>
                    </a:xfrm>
                    <a:prstGeom prst="rect">
                      <a:avLst/>
                    </a:prstGeom>
                    <a:noFill/>
                    <a:ln>
                      <a:noFill/>
                    </a:ln>
                  </pic:spPr>
                </pic:pic>
              </a:graphicData>
            </a:graphic>
          </wp:inline>
        </w:drawing>
      </w:r>
    </w:p>
    <w:p w14:paraId="717D83EA" w14:textId="77777777" w:rsidR="00FE3DAB" w:rsidRPr="00D95708" w:rsidRDefault="00FE3DAB" w:rsidP="00FE3DAB">
      <w:pPr>
        <w:jc w:val="center"/>
        <w:rPr>
          <w:rFonts w:asciiTheme="minorHAnsi" w:hAnsiTheme="minorHAnsi"/>
          <w:sz w:val="24"/>
          <w:szCs w:val="24"/>
        </w:rPr>
      </w:pPr>
    </w:p>
    <w:p w14:paraId="773A9DB8" w14:textId="77777777" w:rsidR="00FE3DAB" w:rsidRPr="00D95708" w:rsidRDefault="00FE3DAB" w:rsidP="00FE3DAB">
      <w:pPr>
        <w:jc w:val="center"/>
        <w:rPr>
          <w:rFonts w:asciiTheme="minorHAnsi" w:hAnsiTheme="minorHAnsi"/>
          <w:sz w:val="24"/>
          <w:szCs w:val="24"/>
        </w:rPr>
      </w:pPr>
    </w:p>
    <w:p w14:paraId="1EC18379" w14:textId="77777777" w:rsidR="00FE3DAB" w:rsidRPr="00D95708" w:rsidRDefault="00FE3DAB" w:rsidP="00FE3DAB">
      <w:pPr>
        <w:jc w:val="center"/>
        <w:rPr>
          <w:rFonts w:asciiTheme="minorHAnsi" w:hAnsiTheme="minorHAnsi" w:cs="Arial"/>
          <w:b/>
          <w:sz w:val="24"/>
          <w:szCs w:val="24"/>
        </w:rPr>
      </w:pPr>
    </w:p>
    <w:p w14:paraId="00DD7487" w14:textId="77777777" w:rsidR="00FE3DAB" w:rsidRDefault="00FE3DAB" w:rsidP="00FE3DAB">
      <w:pPr>
        <w:pStyle w:val="Default"/>
        <w:jc w:val="center"/>
        <w:rPr>
          <w:rFonts w:asciiTheme="minorHAnsi" w:eastAsiaTheme="minorHAnsi" w:hAnsiTheme="minorHAnsi" w:cstheme="minorBidi"/>
          <w:b/>
          <w:color w:val="auto"/>
        </w:rPr>
      </w:pPr>
    </w:p>
    <w:p w14:paraId="2A031BCF" w14:textId="77777777" w:rsidR="000335B8" w:rsidRDefault="000335B8" w:rsidP="00FE3DAB">
      <w:pPr>
        <w:pStyle w:val="Default"/>
        <w:jc w:val="center"/>
        <w:rPr>
          <w:rFonts w:asciiTheme="minorHAnsi" w:eastAsiaTheme="minorHAnsi" w:hAnsiTheme="minorHAnsi" w:cstheme="minorBidi"/>
          <w:b/>
          <w:color w:val="auto"/>
        </w:rPr>
      </w:pPr>
    </w:p>
    <w:p w14:paraId="6871F312" w14:textId="77777777" w:rsidR="000335B8" w:rsidRPr="00D95708" w:rsidRDefault="000335B8" w:rsidP="00FE3DAB">
      <w:pPr>
        <w:pStyle w:val="Default"/>
        <w:jc w:val="center"/>
        <w:rPr>
          <w:rFonts w:asciiTheme="minorHAnsi" w:eastAsiaTheme="minorHAnsi" w:hAnsiTheme="minorHAnsi" w:cstheme="minorBidi"/>
          <w:b/>
          <w:color w:val="auto"/>
        </w:rPr>
      </w:pPr>
    </w:p>
    <w:p w14:paraId="4ACC2207" w14:textId="492E4E0F" w:rsidR="00FE3DAB" w:rsidRPr="00916099" w:rsidRDefault="000B09A0" w:rsidP="00FE3DAB">
      <w:pPr>
        <w:jc w:val="center"/>
        <w:rPr>
          <w:rFonts w:asciiTheme="minorHAnsi" w:eastAsiaTheme="minorHAnsi" w:hAnsiTheme="minorHAnsi" w:cstheme="minorBidi"/>
          <w:b/>
          <w:color w:val="000000"/>
          <w:sz w:val="40"/>
          <w:szCs w:val="40"/>
        </w:rPr>
      </w:pPr>
      <w:r>
        <w:rPr>
          <w:rFonts w:asciiTheme="minorHAnsi" w:eastAsiaTheme="minorHAnsi" w:hAnsiTheme="minorHAnsi" w:cstheme="minorBidi"/>
          <w:b/>
          <w:color w:val="000000"/>
          <w:sz w:val="40"/>
          <w:szCs w:val="40"/>
        </w:rPr>
        <w:t xml:space="preserve">PRIVACY </w:t>
      </w:r>
      <w:r w:rsidR="00FE3DAB" w:rsidRPr="00916099">
        <w:rPr>
          <w:rFonts w:asciiTheme="minorHAnsi" w:eastAsiaTheme="minorHAnsi" w:hAnsiTheme="minorHAnsi" w:cstheme="minorBidi"/>
          <w:b/>
          <w:color w:val="000000"/>
          <w:sz w:val="40"/>
          <w:szCs w:val="40"/>
        </w:rPr>
        <w:t xml:space="preserve">POLICY </w:t>
      </w:r>
    </w:p>
    <w:p w14:paraId="14424F39" w14:textId="77777777" w:rsidR="00FE3DAB" w:rsidRDefault="00FE3DAB" w:rsidP="00FE3DAB">
      <w:pPr>
        <w:jc w:val="center"/>
        <w:rPr>
          <w:rFonts w:asciiTheme="minorHAnsi" w:eastAsiaTheme="minorHAnsi" w:hAnsiTheme="minorHAnsi" w:cstheme="minorBidi"/>
          <w:b/>
          <w:color w:val="000000"/>
          <w:sz w:val="36"/>
          <w:szCs w:val="36"/>
        </w:rPr>
      </w:pPr>
    </w:p>
    <w:p w14:paraId="739072EA" w14:textId="77777777" w:rsidR="000335B8" w:rsidRDefault="000335B8" w:rsidP="00FE3DAB">
      <w:pPr>
        <w:jc w:val="center"/>
        <w:rPr>
          <w:rFonts w:asciiTheme="minorHAnsi" w:hAnsiTheme="minorHAnsi"/>
          <w:b/>
          <w:sz w:val="28"/>
          <w:szCs w:val="28"/>
        </w:rPr>
      </w:pPr>
    </w:p>
    <w:p w14:paraId="4EE5F321" w14:textId="116F3D54" w:rsidR="00FE3DAB" w:rsidRPr="00916099" w:rsidRDefault="00FE3DAB" w:rsidP="00FE3DAB">
      <w:pPr>
        <w:jc w:val="center"/>
        <w:rPr>
          <w:rFonts w:asciiTheme="minorHAnsi" w:hAnsiTheme="minorHAnsi"/>
          <w:b/>
          <w:sz w:val="28"/>
          <w:szCs w:val="28"/>
        </w:rPr>
      </w:pPr>
      <w:r w:rsidRPr="00916099">
        <w:rPr>
          <w:rFonts w:asciiTheme="minorHAnsi" w:hAnsiTheme="minorHAnsi"/>
          <w:b/>
          <w:sz w:val="28"/>
          <w:szCs w:val="28"/>
        </w:rPr>
        <w:t xml:space="preserve">Version </w:t>
      </w:r>
      <w:r w:rsidR="000B09A0">
        <w:rPr>
          <w:rFonts w:asciiTheme="minorHAnsi" w:hAnsiTheme="minorHAnsi"/>
          <w:b/>
          <w:sz w:val="28"/>
          <w:szCs w:val="28"/>
        </w:rPr>
        <w:t>2</w:t>
      </w:r>
      <w:r>
        <w:rPr>
          <w:rFonts w:asciiTheme="minorHAnsi" w:hAnsiTheme="minorHAnsi"/>
          <w:b/>
          <w:sz w:val="28"/>
          <w:szCs w:val="28"/>
        </w:rPr>
        <w:t>.0</w:t>
      </w:r>
    </w:p>
    <w:p w14:paraId="66AD2662" w14:textId="77777777" w:rsidR="00FE3DAB" w:rsidRPr="00916099" w:rsidRDefault="00FE3DAB" w:rsidP="00FE3DAB">
      <w:pPr>
        <w:jc w:val="center"/>
        <w:rPr>
          <w:rFonts w:asciiTheme="minorHAnsi" w:hAnsiTheme="minorHAnsi"/>
          <w:b/>
          <w:sz w:val="28"/>
          <w:szCs w:val="28"/>
        </w:rPr>
      </w:pPr>
    </w:p>
    <w:p w14:paraId="1BA65EF0" w14:textId="383275FB" w:rsidR="00FE3DAB" w:rsidRPr="00916099" w:rsidRDefault="00834777" w:rsidP="00FE3DAB">
      <w:pPr>
        <w:jc w:val="center"/>
        <w:rPr>
          <w:rFonts w:asciiTheme="minorHAnsi" w:hAnsiTheme="minorHAnsi"/>
          <w:sz w:val="28"/>
          <w:szCs w:val="28"/>
        </w:rPr>
      </w:pPr>
      <w:r>
        <w:rPr>
          <w:rFonts w:asciiTheme="minorHAnsi" w:hAnsiTheme="minorHAnsi"/>
          <w:b/>
          <w:sz w:val="28"/>
          <w:szCs w:val="28"/>
        </w:rPr>
        <w:t>JANUARY 2025</w:t>
      </w:r>
    </w:p>
    <w:p w14:paraId="5894CECA" w14:textId="77777777" w:rsidR="00FE3DAB" w:rsidRDefault="00FE3DAB" w:rsidP="00FE3DAB">
      <w:pPr>
        <w:jc w:val="center"/>
        <w:rPr>
          <w:b/>
          <w:bCs/>
          <w:sz w:val="20"/>
          <w:szCs w:val="20"/>
          <w:lang w:val="en-US"/>
        </w:rPr>
      </w:pPr>
    </w:p>
    <w:p w14:paraId="0A5FF27E" w14:textId="77777777" w:rsidR="000335B8" w:rsidRDefault="000335B8" w:rsidP="00FE3DAB">
      <w:pPr>
        <w:jc w:val="center"/>
        <w:rPr>
          <w:b/>
          <w:bCs/>
          <w:sz w:val="20"/>
          <w:szCs w:val="20"/>
          <w:lang w:val="en-US"/>
        </w:rPr>
      </w:pPr>
    </w:p>
    <w:p w14:paraId="1BEF4087" w14:textId="77777777" w:rsidR="000335B8" w:rsidRPr="00916099" w:rsidRDefault="000335B8" w:rsidP="00FE3DAB">
      <w:pPr>
        <w:jc w:val="center"/>
        <w:rPr>
          <w:b/>
          <w:bCs/>
          <w:sz w:val="20"/>
          <w:szCs w:val="20"/>
          <w:lang w:val="en-US"/>
        </w:rPr>
      </w:pPr>
    </w:p>
    <w:p w14:paraId="5FCDFEA9" w14:textId="77777777" w:rsidR="00FE3DAB" w:rsidRPr="00916099" w:rsidRDefault="00FE3DAB" w:rsidP="00FE3DAB">
      <w:pPr>
        <w:jc w:val="center"/>
        <w:rPr>
          <w:b/>
          <w:bCs/>
          <w:sz w:val="20"/>
          <w:szCs w:val="20"/>
          <w:lang w:val="en-US"/>
        </w:rPr>
      </w:pPr>
    </w:p>
    <w:p w14:paraId="7CAF8D15" w14:textId="77777777" w:rsidR="00FE3DAB" w:rsidRPr="00916099" w:rsidRDefault="00FE3DAB" w:rsidP="00FE3DAB">
      <w:pPr>
        <w:jc w:val="center"/>
        <w:rPr>
          <w:b/>
          <w:bCs/>
          <w:sz w:val="20"/>
          <w:szCs w:val="20"/>
          <w:lang w:val="en-US"/>
        </w:rPr>
      </w:pPr>
      <w:r w:rsidRPr="00916099">
        <w:rPr>
          <w:b/>
          <w:bCs/>
          <w:sz w:val="20"/>
          <w:szCs w:val="20"/>
          <w:lang w:val="en-US"/>
        </w:rPr>
        <w:t>OUR</w:t>
      </w:r>
      <w:r w:rsidRPr="00916099">
        <w:rPr>
          <w:b/>
          <w:bCs/>
          <w:spacing w:val="-1"/>
          <w:sz w:val="20"/>
          <w:szCs w:val="20"/>
          <w:lang w:val="en-US"/>
        </w:rPr>
        <w:t xml:space="preserve"> </w:t>
      </w:r>
      <w:r w:rsidRPr="00916099">
        <w:rPr>
          <w:b/>
          <w:bCs/>
          <w:sz w:val="20"/>
          <w:szCs w:val="20"/>
          <w:lang w:val="en-US"/>
        </w:rPr>
        <w:t>VALUES</w:t>
      </w:r>
    </w:p>
    <w:p w14:paraId="75C449D9" w14:textId="77777777" w:rsidR="00FE3DAB" w:rsidRPr="00916099" w:rsidRDefault="00FE3DAB" w:rsidP="00FE3DAB">
      <w:pPr>
        <w:rPr>
          <w:sz w:val="20"/>
          <w:szCs w:val="20"/>
          <w:lang w:val="en-US"/>
        </w:rPr>
      </w:pPr>
    </w:p>
    <w:p w14:paraId="06520757" w14:textId="77777777" w:rsidR="00FE3DAB" w:rsidRPr="00916099" w:rsidRDefault="00FE3DAB" w:rsidP="00FE3DAB">
      <w:pPr>
        <w:rPr>
          <w:spacing w:val="-5"/>
          <w:sz w:val="20"/>
          <w:szCs w:val="20"/>
          <w:lang w:val="en-US"/>
        </w:rPr>
      </w:pPr>
      <w:r w:rsidRPr="00916099">
        <w:rPr>
          <w:sz w:val="20"/>
          <w:szCs w:val="20"/>
          <w:lang w:val="en-US"/>
        </w:rPr>
        <w:t>SERVICE</w:t>
      </w:r>
      <w:r w:rsidRPr="00916099">
        <w:rPr>
          <w:spacing w:val="-5"/>
          <w:sz w:val="20"/>
          <w:szCs w:val="20"/>
          <w:lang w:val="en-US"/>
        </w:rPr>
        <w:t>:</w:t>
      </w:r>
      <w:r w:rsidRPr="00916099">
        <w:rPr>
          <w:spacing w:val="-5"/>
          <w:sz w:val="20"/>
          <w:szCs w:val="20"/>
          <w:lang w:val="en-US"/>
        </w:rPr>
        <w:tab/>
      </w:r>
      <w:r w:rsidRPr="00916099">
        <w:rPr>
          <w:sz w:val="20"/>
          <w:szCs w:val="20"/>
          <w:lang w:val="en-US"/>
        </w:rPr>
        <w:t>A</w:t>
      </w:r>
      <w:r w:rsidRPr="00916099">
        <w:rPr>
          <w:spacing w:val="-8"/>
          <w:sz w:val="20"/>
          <w:szCs w:val="20"/>
          <w:lang w:val="en-US"/>
        </w:rPr>
        <w:t xml:space="preserve"> </w:t>
      </w:r>
      <w:r w:rsidRPr="00916099">
        <w:rPr>
          <w:sz w:val="20"/>
          <w:szCs w:val="20"/>
          <w:lang w:val="en-US"/>
        </w:rPr>
        <w:t>client</w:t>
      </w:r>
      <w:r w:rsidRPr="00916099">
        <w:rPr>
          <w:spacing w:val="-5"/>
          <w:sz w:val="20"/>
          <w:szCs w:val="20"/>
          <w:lang w:val="en-US"/>
        </w:rPr>
        <w:t xml:space="preserve"> </w:t>
      </w:r>
      <w:r w:rsidRPr="00916099">
        <w:rPr>
          <w:sz w:val="20"/>
          <w:szCs w:val="20"/>
          <w:lang w:val="en-US"/>
        </w:rPr>
        <w:t>service</w:t>
      </w:r>
      <w:r w:rsidRPr="00916099">
        <w:rPr>
          <w:spacing w:val="-5"/>
          <w:sz w:val="20"/>
          <w:szCs w:val="20"/>
          <w:lang w:val="en-US"/>
        </w:rPr>
        <w:t xml:space="preserve"> </w:t>
      </w:r>
      <w:r w:rsidRPr="00916099">
        <w:rPr>
          <w:sz w:val="20"/>
          <w:szCs w:val="20"/>
          <w:lang w:val="en-US"/>
        </w:rPr>
        <w:t>focus</w:t>
      </w:r>
      <w:r w:rsidRPr="00916099">
        <w:rPr>
          <w:spacing w:val="-7"/>
          <w:sz w:val="20"/>
          <w:szCs w:val="20"/>
          <w:lang w:val="en-US"/>
        </w:rPr>
        <w:t xml:space="preserve"> </w:t>
      </w:r>
      <w:r w:rsidRPr="00916099">
        <w:rPr>
          <w:sz w:val="20"/>
          <w:szCs w:val="20"/>
          <w:lang w:val="en-US"/>
        </w:rPr>
        <w:t>achieved</w:t>
      </w:r>
      <w:r w:rsidRPr="00916099">
        <w:rPr>
          <w:spacing w:val="-11"/>
          <w:sz w:val="20"/>
          <w:szCs w:val="20"/>
          <w:lang w:val="en-US"/>
        </w:rPr>
        <w:t xml:space="preserve"> </w:t>
      </w:r>
      <w:r w:rsidRPr="00916099">
        <w:rPr>
          <w:sz w:val="20"/>
          <w:szCs w:val="20"/>
          <w:lang w:val="en-US"/>
        </w:rPr>
        <w:t>by</w:t>
      </w:r>
      <w:r w:rsidRPr="00916099">
        <w:rPr>
          <w:spacing w:val="-4"/>
          <w:sz w:val="20"/>
          <w:szCs w:val="20"/>
          <w:lang w:val="en-US"/>
        </w:rPr>
        <w:t xml:space="preserve"> </w:t>
      </w:r>
      <w:r w:rsidRPr="00916099">
        <w:rPr>
          <w:sz w:val="20"/>
          <w:szCs w:val="20"/>
          <w:lang w:val="en-US"/>
        </w:rPr>
        <w:t>teamwork</w:t>
      </w:r>
      <w:r w:rsidRPr="00916099">
        <w:rPr>
          <w:spacing w:val="-6"/>
          <w:sz w:val="20"/>
          <w:szCs w:val="20"/>
          <w:lang w:val="en-US"/>
        </w:rPr>
        <w:t xml:space="preserve"> </w:t>
      </w:r>
      <w:r w:rsidRPr="00916099">
        <w:rPr>
          <w:sz w:val="20"/>
          <w:szCs w:val="20"/>
          <w:lang w:val="en-US"/>
        </w:rPr>
        <w:t>across</w:t>
      </w:r>
      <w:r w:rsidRPr="00916099">
        <w:rPr>
          <w:spacing w:val="-10"/>
          <w:sz w:val="20"/>
          <w:szCs w:val="20"/>
          <w:lang w:val="en-US"/>
        </w:rPr>
        <w:t xml:space="preserve"> </w:t>
      </w:r>
      <w:r w:rsidRPr="00916099">
        <w:rPr>
          <w:sz w:val="20"/>
          <w:szCs w:val="20"/>
          <w:lang w:val="en-US"/>
        </w:rPr>
        <w:t>the</w:t>
      </w:r>
      <w:r w:rsidRPr="00916099">
        <w:rPr>
          <w:spacing w:val="-5"/>
          <w:sz w:val="20"/>
          <w:szCs w:val="20"/>
          <w:lang w:val="en-US"/>
        </w:rPr>
        <w:t xml:space="preserve"> </w:t>
      </w:r>
      <w:r w:rsidRPr="00916099">
        <w:rPr>
          <w:sz w:val="20"/>
          <w:szCs w:val="20"/>
          <w:lang w:val="en-US"/>
        </w:rPr>
        <w:t>whole</w:t>
      </w:r>
      <w:r w:rsidRPr="00916099">
        <w:rPr>
          <w:spacing w:val="-5"/>
          <w:sz w:val="20"/>
          <w:szCs w:val="20"/>
          <w:lang w:val="en-US"/>
        </w:rPr>
        <w:t xml:space="preserve"> </w:t>
      </w:r>
      <w:r w:rsidRPr="00916099">
        <w:rPr>
          <w:sz w:val="20"/>
          <w:szCs w:val="20"/>
          <w:lang w:val="en-US"/>
        </w:rPr>
        <w:t>organisation.</w:t>
      </w:r>
    </w:p>
    <w:p w14:paraId="13F051AD" w14:textId="77777777" w:rsidR="00FE3DAB" w:rsidRPr="00916099" w:rsidRDefault="00FE3DAB" w:rsidP="00FE3DAB">
      <w:pPr>
        <w:rPr>
          <w:sz w:val="20"/>
          <w:szCs w:val="20"/>
          <w:lang w:val="en-US"/>
        </w:rPr>
      </w:pPr>
      <w:r w:rsidRPr="00916099">
        <w:rPr>
          <w:sz w:val="20"/>
          <w:szCs w:val="20"/>
          <w:lang w:val="en-US"/>
        </w:rPr>
        <w:t>RESPECT:</w:t>
      </w:r>
      <w:r w:rsidRPr="00916099">
        <w:rPr>
          <w:sz w:val="20"/>
          <w:szCs w:val="20"/>
          <w:lang w:val="en-US"/>
        </w:rPr>
        <w:tab/>
        <w:t>Personal and professional respect for each other and our clients</w:t>
      </w:r>
    </w:p>
    <w:p w14:paraId="057A0EC0" w14:textId="77777777" w:rsidR="00FE3DAB" w:rsidRPr="00916099" w:rsidRDefault="00FE3DAB" w:rsidP="00FE3DAB">
      <w:pPr>
        <w:rPr>
          <w:spacing w:val="-8"/>
          <w:sz w:val="20"/>
          <w:szCs w:val="20"/>
          <w:lang w:val="en-US"/>
        </w:rPr>
      </w:pPr>
      <w:r w:rsidRPr="00916099">
        <w:rPr>
          <w:sz w:val="20"/>
          <w:szCs w:val="20"/>
          <w:lang w:val="en-US"/>
        </w:rPr>
        <w:t>INTEGRITY</w:t>
      </w:r>
      <w:r w:rsidRPr="00916099">
        <w:rPr>
          <w:spacing w:val="-9"/>
          <w:sz w:val="20"/>
          <w:szCs w:val="20"/>
          <w:lang w:val="en-US"/>
        </w:rPr>
        <w:t xml:space="preserve">: </w:t>
      </w:r>
      <w:r>
        <w:rPr>
          <w:spacing w:val="-9"/>
          <w:sz w:val="20"/>
          <w:szCs w:val="20"/>
          <w:lang w:val="en-US"/>
        </w:rPr>
        <w:tab/>
      </w:r>
      <w:r w:rsidRPr="00916099">
        <w:rPr>
          <w:sz w:val="20"/>
          <w:szCs w:val="20"/>
          <w:lang w:val="en-US"/>
        </w:rPr>
        <w:t>Open,</w:t>
      </w:r>
      <w:r w:rsidRPr="00916099">
        <w:rPr>
          <w:spacing w:val="-3"/>
          <w:sz w:val="20"/>
          <w:szCs w:val="20"/>
          <w:lang w:val="en-US"/>
        </w:rPr>
        <w:t xml:space="preserve"> </w:t>
      </w:r>
      <w:r w:rsidRPr="00916099">
        <w:rPr>
          <w:sz w:val="20"/>
          <w:szCs w:val="20"/>
          <w:lang w:val="en-US"/>
        </w:rPr>
        <w:t>honest, and ethical</w:t>
      </w:r>
      <w:r w:rsidRPr="00916099">
        <w:rPr>
          <w:spacing w:val="-5"/>
          <w:sz w:val="20"/>
          <w:szCs w:val="20"/>
          <w:lang w:val="en-US"/>
        </w:rPr>
        <w:t xml:space="preserve"> </w:t>
      </w:r>
      <w:r w:rsidRPr="00916099">
        <w:rPr>
          <w:sz w:val="20"/>
          <w:szCs w:val="20"/>
          <w:lang w:val="en-US"/>
        </w:rPr>
        <w:t>service</w:t>
      </w:r>
      <w:r w:rsidRPr="00916099">
        <w:rPr>
          <w:spacing w:val="-4"/>
          <w:sz w:val="20"/>
          <w:szCs w:val="20"/>
          <w:lang w:val="en-US"/>
        </w:rPr>
        <w:t xml:space="preserve"> </w:t>
      </w:r>
      <w:r w:rsidRPr="00916099">
        <w:rPr>
          <w:sz w:val="20"/>
          <w:szCs w:val="20"/>
          <w:lang w:val="en-US"/>
        </w:rPr>
        <w:t>delivery.</w:t>
      </w:r>
    </w:p>
    <w:p w14:paraId="3694985E" w14:textId="77777777" w:rsidR="00FE3DAB" w:rsidRPr="00916099" w:rsidRDefault="00FE3DAB" w:rsidP="00FE3DAB">
      <w:pPr>
        <w:ind w:left="1440"/>
        <w:rPr>
          <w:sz w:val="20"/>
          <w:szCs w:val="20"/>
          <w:lang w:val="en-US"/>
        </w:rPr>
      </w:pPr>
    </w:p>
    <w:p w14:paraId="7DA625F6" w14:textId="77777777" w:rsidR="00FE3DAB" w:rsidRPr="00916099" w:rsidRDefault="00FE3DAB" w:rsidP="00FE3DAB">
      <w:pPr>
        <w:jc w:val="center"/>
        <w:rPr>
          <w:b/>
          <w:bCs/>
          <w:sz w:val="20"/>
          <w:szCs w:val="20"/>
          <w:lang w:val="en-US"/>
        </w:rPr>
      </w:pPr>
      <w:r w:rsidRPr="00916099">
        <w:rPr>
          <w:b/>
          <w:bCs/>
          <w:sz w:val="20"/>
          <w:szCs w:val="20"/>
          <w:lang w:val="en-US"/>
        </w:rPr>
        <w:t>OUR</w:t>
      </w:r>
      <w:r w:rsidRPr="00916099">
        <w:rPr>
          <w:b/>
          <w:bCs/>
          <w:spacing w:val="-1"/>
          <w:sz w:val="20"/>
          <w:szCs w:val="20"/>
          <w:lang w:val="en-US"/>
        </w:rPr>
        <w:t xml:space="preserve"> </w:t>
      </w:r>
      <w:r w:rsidRPr="00916099">
        <w:rPr>
          <w:b/>
          <w:bCs/>
          <w:sz w:val="20"/>
          <w:szCs w:val="20"/>
          <w:lang w:val="en-US"/>
        </w:rPr>
        <w:t>GOALS</w:t>
      </w:r>
    </w:p>
    <w:p w14:paraId="6A0B4A12" w14:textId="77777777" w:rsidR="00FE3DAB" w:rsidRPr="00916099" w:rsidRDefault="00FE3DAB" w:rsidP="00FE3DAB">
      <w:pPr>
        <w:rPr>
          <w:sz w:val="20"/>
          <w:szCs w:val="20"/>
          <w:lang w:val="en-US"/>
        </w:rPr>
      </w:pPr>
    </w:p>
    <w:p w14:paraId="4E25908B" w14:textId="77777777" w:rsidR="00FE3DAB" w:rsidRPr="00916099" w:rsidRDefault="00FE3DAB" w:rsidP="00FE3DAB">
      <w:pPr>
        <w:rPr>
          <w:sz w:val="20"/>
          <w:szCs w:val="20"/>
          <w:lang w:val="en-US"/>
        </w:rPr>
      </w:pPr>
      <w:r w:rsidRPr="00916099">
        <w:rPr>
          <w:sz w:val="20"/>
          <w:szCs w:val="20"/>
          <w:lang w:val="en-US"/>
        </w:rPr>
        <w:t xml:space="preserve">OUR CLIENTS: </w:t>
      </w:r>
      <w:r>
        <w:rPr>
          <w:sz w:val="20"/>
          <w:szCs w:val="20"/>
          <w:lang w:val="en-US"/>
        </w:rPr>
        <w:tab/>
      </w:r>
      <w:r>
        <w:rPr>
          <w:sz w:val="20"/>
          <w:szCs w:val="20"/>
          <w:lang w:val="en-US"/>
        </w:rPr>
        <w:tab/>
      </w:r>
      <w:r w:rsidRPr="00916099">
        <w:rPr>
          <w:sz w:val="20"/>
          <w:szCs w:val="20"/>
          <w:lang w:val="en-US"/>
        </w:rPr>
        <w:t>Our clients are central to everything we do.</w:t>
      </w:r>
    </w:p>
    <w:p w14:paraId="122715F1" w14:textId="77777777" w:rsidR="00FE3DAB" w:rsidRPr="00916099" w:rsidRDefault="00FE3DAB" w:rsidP="00FE3DAB">
      <w:pPr>
        <w:rPr>
          <w:sz w:val="20"/>
          <w:szCs w:val="20"/>
          <w:lang w:val="en-US"/>
        </w:rPr>
      </w:pPr>
      <w:r w:rsidRPr="00916099">
        <w:rPr>
          <w:sz w:val="20"/>
          <w:szCs w:val="20"/>
          <w:lang w:val="en-US"/>
        </w:rPr>
        <w:t xml:space="preserve">OUR STAKEHOLDERS: </w:t>
      </w:r>
      <w:r>
        <w:rPr>
          <w:sz w:val="20"/>
          <w:szCs w:val="20"/>
          <w:lang w:val="en-US"/>
        </w:rPr>
        <w:tab/>
      </w:r>
      <w:r w:rsidRPr="00916099">
        <w:rPr>
          <w:sz w:val="20"/>
          <w:szCs w:val="20"/>
          <w:lang w:val="en-US"/>
        </w:rPr>
        <w:t>Strong and trusted relationships with stakeholders</w:t>
      </w:r>
    </w:p>
    <w:p w14:paraId="0081722E" w14:textId="77777777" w:rsidR="00FE3DAB" w:rsidRPr="00916099" w:rsidRDefault="00FE3DAB" w:rsidP="00FE3DAB">
      <w:pPr>
        <w:rPr>
          <w:sz w:val="20"/>
          <w:szCs w:val="20"/>
          <w:lang w:val="en-US"/>
        </w:rPr>
      </w:pPr>
      <w:r w:rsidRPr="00916099">
        <w:rPr>
          <w:sz w:val="20"/>
          <w:szCs w:val="20"/>
          <w:lang w:val="en-US"/>
        </w:rPr>
        <w:t xml:space="preserve">OUR PEOPLE: </w:t>
      </w:r>
      <w:r>
        <w:rPr>
          <w:sz w:val="20"/>
          <w:szCs w:val="20"/>
          <w:lang w:val="en-US"/>
        </w:rPr>
        <w:tab/>
      </w:r>
      <w:r>
        <w:rPr>
          <w:sz w:val="20"/>
          <w:szCs w:val="20"/>
          <w:lang w:val="en-US"/>
        </w:rPr>
        <w:tab/>
      </w:r>
      <w:r w:rsidRPr="00916099">
        <w:rPr>
          <w:sz w:val="20"/>
          <w:szCs w:val="20"/>
          <w:lang w:val="en-US"/>
        </w:rPr>
        <w:t>A committed, capable and engaged workforce.</w:t>
      </w:r>
    </w:p>
    <w:p w14:paraId="010607F6" w14:textId="5F2FA881" w:rsidR="00FE3DAB" w:rsidRPr="00916099" w:rsidRDefault="00FE3DAB" w:rsidP="00CF3728">
      <w:pPr>
        <w:ind w:left="2160" w:hanging="2160"/>
        <w:rPr>
          <w:sz w:val="20"/>
          <w:szCs w:val="20"/>
          <w:lang w:val="en-US"/>
        </w:rPr>
      </w:pPr>
      <w:r w:rsidRPr="00916099">
        <w:rPr>
          <w:sz w:val="20"/>
          <w:szCs w:val="20"/>
          <w:lang w:val="en-US"/>
        </w:rPr>
        <w:t>FIT FOR PURPOSE:</w:t>
      </w:r>
      <w:r>
        <w:rPr>
          <w:sz w:val="20"/>
          <w:szCs w:val="20"/>
          <w:lang w:val="en-US"/>
        </w:rPr>
        <w:tab/>
      </w:r>
      <w:r w:rsidRPr="00916099">
        <w:rPr>
          <w:sz w:val="20"/>
          <w:szCs w:val="20"/>
          <w:lang w:val="en-US"/>
        </w:rPr>
        <w:t>A</w:t>
      </w:r>
      <w:r w:rsidR="00CF3728">
        <w:rPr>
          <w:sz w:val="20"/>
          <w:szCs w:val="20"/>
          <w:lang w:val="en-US"/>
        </w:rPr>
        <w:t xml:space="preserve"> sustainable</w:t>
      </w:r>
      <w:r w:rsidRPr="00916099">
        <w:rPr>
          <w:sz w:val="20"/>
          <w:szCs w:val="20"/>
          <w:lang w:val="en-US"/>
        </w:rPr>
        <w:t xml:space="preserve"> business model meeting the needs of the Tasmanian community.</w:t>
      </w:r>
    </w:p>
    <w:p w14:paraId="5F6C1327" w14:textId="77777777" w:rsidR="00FE3DAB" w:rsidRPr="00916099" w:rsidRDefault="00FE3DAB" w:rsidP="00FE3DAB">
      <w:pPr>
        <w:ind w:left="1701" w:right="1280"/>
        <w:rPr>
          <w:i/>
          <w:iCs/>
          <w:sz w:val="20"/>
          <w:szCs w:val="20"/>
          <w:lang w:val="en-US"/>
        </w:rPr>
      </w:pPr>
    </w:p>
    <w:p w14:paraId="502799A4" w14:textId="77777777" w:rsidR="00FE3DAB" w:rsidRPr="00916099" w:rsidRDefault="00FE3DAB" w:rsidP="00FE3DAB">
      <w:pPr>
        <w:ind w:left="1701" w:right="1280"/>
        <w:rPr>
          <w:i/>
          <w:iCs/>
          <w:sz w:val="20"/>
          <w:szCs w:val="20"/>
          <w:lang w:val="en-US"/>
        </w:rPr>
      </w:pPr>
    </w:p>
    <w:p w14:paraId="1A3E0B56" w14:textId="77777777" w:rsidR="00FE3DAB" w:rsidRPr="00916099" w:rsidRDefault="00FE3DAB" w:rsidP="00FE3DAB">
      <w:pPr>
        <w:rPr>
          <w:i/>
          <w:iCs/>
          <w:sz w:val="20"/>
          <w:szCs w:val="20"/>
          <w:lang w:val="en-US"/>
        </w:rPr>
      </w:pPr>
      <w:r w:rsidRPr="00916099">
        <w:rPr>
          <w:i/>
          <w:iCs/>
          <w:sz w:val="20"/>
          <w:szCs w:val="20"/>
          <w:lang w:val="en-US"/>
        </w:rPr>
        <w:t>We will provide our services with empathy, dignity, and respect. We will have our clients at the centre of everything we do. Sound governance, communication and a responsive and personable culture will underpin our work at Public Trustee.</w:t>
      </w:r>
    </w:p>
    <w:bookmarkEnd w:id="0"/>
    <w:p w14:paraId="5945A527" w14:textId="77777777" w:rsidR="00FE3DAB" w:rsidRDefault="00FE3DAB" w:rsidP="00FE3DAB">
      <w:pPr>
        <w:ind w:left="1701" w:right="1280"/>
        <w:jc w:val="both"/>
        <w:rPr>
          <w:i/>
          <w:iCs/>
          <w:sz w:val="16"/>
          <w:szCs w:val="16"/>
          <w:lang w:val="en-US"/>
        </w:rPr>
      </w:pPr>
    </w:p>
    <w:p w14:paraId="5FDDAADF" w14:textId="77777777" w:rsidR="00FE3DAB" w:rsidRDefault="00FE3DAB" w:rsidP="00FE3DAB">
      <w:pPr>
        <w:ind w:left="1701" w:right="1280"/>
        <w:jc w:val="both"/>
        <w:rPr>
          <w:i/>
          <w:iCs/>
          <w:sz w:val="16"/>
          <w:szCs w:val="16"/>
          <w:lang w:val="en-US"/>
        </w:rPr>
      </w:pPr>
    </w:p>
    <w:p w14:paraId="55F127D1" w14:textId="77777777" w:rsidR="00FE3DAB" w:rsidRDefault="00FE3DAB" w:rsidP="00FE3DAB">
      <w:pPr>
        <w:ind w:left="1701" w:right="1280"/>
        <w:jc w:val="both"/>
        <w:rPr>
          <w:i/>
          <w:iCs/>
          <w:sz w:val="16"/>
          <w:szCs w:val="16"/>
          <w:lang w:val="en-US"/>
        </w:rPr>
      </w:pPr>
    </w:p>
    <w:tbl>
      <w:tblPr>
        <w:tblpPr w:leftFromText="180" w:rightFromText="180" w:vertAnchor="text" w:horzAnchor="page" w:tblpX="1660" w:tblpY="10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gridCol w:w="1472"/>
        <w:gridCol w:w="5621"/>
      </w:tblGrid>
      <w:tr w:rsidR="00FE3DAB" w:rsidRPr="00BD76E7" w14:paraId="608EC708" w14:textId="77777777" w:rsidTr="00376EF2">
        <w:tc>
          <w:tcPr>
            <w:tcW w:w="1946" w:type="dxa"/>
          </w:tcPr>
          <w:p w14:paraId="1F9171F7" w14:textId="77777777" w:rsidR="00FE3DAB" w:rsidRPr="00BD76E7" w:rsidRDefault="00FE3DAB" w:rsidP="00376EF2">
            <w:pPr>
              <w:jc w:val="center"/>
              <w:rPr>
                <w:rFonts w:asciiTheme="minorHAnsi" w:hAnsiTheme="minorHAnsi"/>
                <w:sz w:val="18"/>
                <w:szCs w:val="18"/>
              </w:rPr>
            </w:pPr>
            <w:r w:rsidRPr="00BD76E7">
              <w:rPr>
                <w:rFonts w:asciiTheme="minorHAnsi" w:hAnsiTheme="minorHAnsi"/>
                <w:b/>
                <w:bCs/>
                <w:sz w:val="18"/>
                <w:szCs w:val="18"/>
              </w:rPr>
              <w:t>VERSION DATE</w:t>
            </w:r>
          </w:p>
        </w:tc>
        <w:tc>
          <w:tcPr>
            <w:tcW w:w="1472" w:type="dxa"/>
          </w:tcPr>
          <w:p w14:paraId="29CDDFEE" w14:textId="77777777" w:rsidR="00FE3DAB" w:rsidRPr="00BD76E7" w:rsidRDefault="00FE3DAB" w:rsidP="00376EF2">
            <w:pPr>
              <w:jc w:val="center"/>
              <w:rPr>
                <w:rFonts w:asciiTheme="minorHAnsi" w:hAnsiTheme="minorHAnsi"/>
                <w:b/>
                <w:bCs/>
                <w:sz w:val="18"/>
                <w:szCs w:val="18"/>
              </w:rPr>
            </w:pPr>
            <w:r w:rsidRPr="00BD76E7">
              <w:rPr>
                <w:rFonts w:asciiTheme="minorHAnsi" w:hAnsiTheme="minorHAnsi"/>
                <w:b/>
                <w:bCs/>
                <w:sz w:val="18"/>
                <w:szCs w:val="18"/>
              </w:rPr>
              <w:t>VERSION NUMBER</w:t>
            </w:r>
          </w:p>
        </w:tc>
        <w:tc>
          <w:tcPr>
            <w:tcW w:w="5621" w:type="dxa"/>
          </w:tcPr>
          <w:p w14:paraId="5A148713" w14:textId="77777777" w:rsidR="00FE3DAB" w:rsidRPr="00BD76E7" w:rsidRDefault="00FE3DAB" w:rsidP="00376EF2">
            <w:pPr>
              <w:rPr>
                <w:rFonts w:asciiTheme="minorHAnsi" w:hAnsiTheme="minorHAnsi"/>
                <w:b/>
                <w:bCs/>
                <w:sz w:val="18"/>
                <w:szCs w:val="18"/>
              </w:rPr>
            </w:pPr>
            <w:r w:rsidRPr="00BD76E7">
              <w:rPr>
                <w:rFonts w:asciiTheme="minorHAnsi" w:hAnsiTheme="minorHAnsi"/>
                <w:b/>
                <w:bCs/>
                <w:sz w:val="18"/>
                <w:szCs w:val="18"/>
              </w:rPr>
              <w:t>DESCRIPTION OF THE CHANGE</w:t>
            </w:r>
          </w:p>
        </w:tc>
      </w:tr>
      <w:tr w:rsidR="00FE3DAB" w:rsidRPr="00BD76E7" w14:paraId="7FDCFA91" w14:textId="77777777" w:rsidTr="00376EF2">
        <w:tc>
          <w:tcPr>
            <w:tcW w:w="1946" w:type="dxa"/>
          </w:tcPr>
          <w:p w14:paraId="607663A8" w14:textId="5FF12760" w:rsidR="00FE3DAB" w:rsidRPr="00916099" w:rsidRDefault="00A7133C" w:rsidP="00376EF2">
            <w:pPr>
              <w:rPr>
                <w:rFonts w:asciiTheme="minorHAnsi" w:hAnsiTheme="minorHAnsi"/>
                <w:sz w:val="20"/>
                <w:szCs w:val="20"/>
              </w:rPr>
            </w:pPr>
            <w:r>
              <w:rPr>
                <w:rFonts w:asciiTheme="minorHAnsi" w:hAnsiTheme="minorHAnsi"/>
                <w:sz w:val="20"/>
                <w:szCs w:val="20"/>
              </w:rPr>
              <w:t>2020</w:t>
            </w:r>
          </w:p>
        </w:tc>
        <w:tc>
          <w:tcPr>
            <w:tcW w:w="1472" w:type="dxa"/>
          </w:tcPr>
          <w:p w14:paraId="38DA177F" w14:textId="77777777" w:rsidR="00FE3DAB" w:rsidRPr="00916099" w:rsidRDefault="00FE3DAB" w:rsidP="00376EF2">
            <w:pPr>
              <w:jc w:val="center"/>
              <w:rPr>
                <w:rFonts w:asciiTheme="minorHAnsi" w:hAnsiTheme="minorHAnsi"/>
                <w:sz w:val="20"/>
                <w:szCs w:val="20"/>
              </w:rPr>
            </w:pPr>
            <w:r w:rsidRPr="00916099">
              <w:rPr>
                <w:rFonts w:asciiTheme="minorHAnsi" w:hAnsiTheme="minorHAnsi"/>
                <w:sz w:val="20"/>
                <w:szCs w:val="20"/>
              </w:rPr>
              <w:t>1.0</w:t>
            </w:r>
          </w:p>
        </w:tc>
        <w:tc>
          <w:tcPr>
            <w:tcW w:w="5621" w:type="dxa"/>
          </w:tcPr>
          <w:p w14:paraId="21C43975" w14:textId="77777777" w:rsidR="00FE3DAB" w:rsidRPr="00916099" w:rsidRDefault="00FE3DAB" w:rsidP="00376EF2">
            <w:pPr>
              <w:rPr>
                <w:rFonts w:asciiTheme="minorHAnsi" w:hAnsiTheme="minorHAnsi"/>
                <w:sz w:val="20"/>
                <w:szCs w:val="20"/>
              </w:rPr>
            </w:pPr>
            <w:r w:rsidRPr="00916099">
              <w:rPr>
                <w:rFonts w:asciiTheme="minorHAnsi" w:hAnsiTheme="minorHAnsi"/>
                <w:sz w:val="20"/>
                <w:szCs w:val="20"/>
              </w:rPr>
              <w:t>New document introduced.</w:t>
            </w:r>
          </w:p>
        </w:tc>
      </w:tr>
      <w:tr w:rsidR="00A7133C" w:rsidRPr="00BD76E7" w14:paraId="30D9C5CE" w14:textId="77777777" w:rsidTr="00376EF2">
        <w:tc>
          <w:tcPr>
            <w:tcW w:w="1946" w:type="dxa"/>
          </w:tcPr>
          <w:p w14:paraId="6CF38BE2" w14:textId="336531CF" w:rsidR="00A7133C" w:rsidRDefault="00834777" w:rsidP="00376EF2">
            <w:pPr>
              <w:rPr>
                <w:rFonts w:asciiTheme="minorHAnsi" w:hAnsiTheme="minorHAnsi"/>
                <w:sz w:val="20"/>
                <w:szCs w:val="20"/>
              </w:rPr>
            </w:pPr>
            <w:r>
              <w:rPr>
                <w:rFonts w:asciiTheme="minorHAnsi" w:hAnsiTheme="minorHAnsi"/>
                <w:sz w:val="20"/>
                <w:szCs w:val="20"/>
              </w:rPr>
              <w:t>January 2025</w:t>
            </w:r>
          </w:p>
        </w:tc>
        <w:tc>
          <w:tcPr>
            <w:tcW w:w="1472" w:type="dxa"/>
          </w:tcPr>
          <w:p w14:paraId="564A3D4F" w14:textId="6C6F26CD" w:rsidR="00A7133C" w:rsidRPr="00916099" w:rsidRDefault="00834777" w:rsidP="00376EF2">
            <w:pPr>
              <w:jc w:val="center"/>
              <w:rPr>
                <w:rFonts w:asciiTheme="minorHAnsi" w:hAnsiTheme="minorHAnsi"/>
                <w:sz w:val="20"/>
                <w:szCs w:val="20"/>
              </w:rPr>
            </w:pPr>
            <w:r>
              <w:rPr>
                <w:rFonts w:asciiTheme="minorHAnsi" w:hAnsiTheme="minorHAnsi"/>
                <w:sz w:val="20"/>
                <w:szCs w:val="20"/>
              </w:rPr>
              <w:t>2.0</w:t>
            </w:r>
          </w:p>
        </w:tc>
        <w:tc>
          <w:tcPr>
            <w:tcW w:w="5621" w:type="dxa"/>
          </w:tcPr>
          <w:p w14:paraId="791EE23A" w14:textId="62C38B9D" w:rsidR="00A7133C" w:rsidRPr="00916099" w:rsidRDefault="00834777" w:rsidP="00376EF2">
            <w:pPr>
              <w:rPr>
                <w:rFonts w:asciiTheme="minorHAnsi" w:hAnsiTheme="minorHAnsi"/>
                <w:sz w:val="20"/>
                <w:szCs w:val="20"/>
              </w:rPr>
            </w:pPr>
            <w:r>
              <w:rPr>
                <w:rFonts w:asciiTheme="minorHAnsi" w:hAnsiTheme="minorHAnsi"/>
                <w:sz w:val="20"/>
                <w:szCs w:val="20"/>
              </w:rPr>
              <w:t>Changes made in line with policy review schedule</w:t>
            </w:r>
            <w:r w:rsidR="005718A7">
              <w:rPr>
                <w:rFonts w:asciiTheme="minorHAnsi" w:hAnsiTheme="minorHAnsi"/>
                <w:sz w:val="20"/>
                <w:szCs w:val="20"/>
              </w:rPr>
              <w:t>.</w:t>
            </w:r>
          </w:p>
        </w:tc>
      </w:tr>
    </w:tbl>
    <w:p w14:paraId="5B858E4D" w14:textId="77777777" w:rsidR="00FE3DAB" w:rsidRDefault="00FE3DAB" w:rsidP="00FE3DAB">
      <w:pPr>
        <w:ind w:left="1701" w:right="1280"/>
        <w:jc w:val="both"/>
        <w:rPr>
          <w:i/>
          <w:iCs/>
          <w:sz w:val="16"/>
          <w:szCs w:val="16"/>
          <w:lang w:val="en-US"/>
        </w:rPr>
      </w:pPr>
    </w:p>
    <w:p w14:paraId="2DB1031B" w14:textId="77777777" w:rsidR="00FE3DAB" w:rsidRDefault="00FE3DAB" w:rsidP="00FE3DAB">
      <w:pPr>
        <w:jc w:val="center"/>
        <w:rPr>
          <w:rFonts w:asciiTheme="minorHAnsi" w:hAnsiTheme="minorHAnsi"/>
          <w:b/>
          <w:sz w:val="24"/>
          <w:szCs w:val="24"/>
        </w:rPr>
      </w:pPr>
    </w:p>
    <w:p w14:paraId="7AD0E232" w14:textId="77777777" w:rsidR="00FE3DAB" w:rsidRDefault="00FE3DAB" w:rsidP="00FE3DAB">
      <w:pPr>
        <w:jc w:val="center"/>
        <w:rPr>
          <w:rFonts w:asciiTheme="minorHAnsi" w:hAnsiTheme="minorHAnsi"/>
          <w:b/>
          <w:sz w:val="24"/>
          <w:szCs w:val="24"/>
        </w:rPr>
      </w:pPr>
    </w:p>
    <w:p w14:paraId="63A4C9EA" w14:textId="77777777" w:rsidR="00A65A31" w:rsidRDefault="00A65A31">
      <w:pPr>
        <w:rPr>
          <w:b/>
          <w:bCs/>
          <w:sz w:val="24"/>
          <w:szCs w:val="24"/>
        </w:rPr>
      </w:pPr>
      <w:r>
        <w:rPr>
          <w:b/>
          <w:bCs/>
          <w:sz w:val="24"/>
          <w:szCs w:val="24"/>
        </w:rPr>
        <w:br w:type="page"/>
      </w:r>
    </w:p>
    <w:p w14:paraId="6969D233" w14:textId="391B33F3" w:rsidR="00FE3DAB" w:rsidRPr="008F5EB1" w:rsidRDefault="00FE3DAB" w:rsidP="00695907">
      <w:pPr>
        <w:spacing w:before="120" w:after="120" w:line="276" w:lineRule="auto"/>
        <w:rPr>
          <w:b/>
          <w:bCs/>
          <w:sz w:val="24"/>
          <w:szCs w:val="24"/>
        </w:rPr>
      </w:pPr>
      <w:r w:rsidRPr="008F5EB1">
        <w:rPr>
          <w:b/>
          <w:bCs/>
          <w:sz w:val="24"/>
          <w:szCs w:val="24"/>
        </w:rPr>
        <w:lastRenderedPageBreak/>
        <w:t>SUMMARY</w:t>
      </w:r>
    </w:p>
    <w:p w14:paraId="137C74FB" w14:textId="4A66D715" w:rsidR="00FE3DAB" w:rsidRPr="00C54E9B" w:rsidRDefault="00A7133C" w:rsidP="00C54E9B">
      <w:pPr>
        <w:spacing w:line="276" w:lineRule="auto"/>
        <w:jc w:val="both"/>
      </w:pPr>
      <w:r w:rsidRPr="00C54E9B">
        <w:t>The purpose of this Policy is to govern how the Public Trustee collects, uses, discloses, releases and protects private and personal information.</w:t>
      </w:r>
    </w:p>
    <w:p w14:paraId="28A078EF" w14:textId="77777777" w:rsidR="00FE3DAB" w:rsidRPr="008F5EB1" w:rsidRDefault="00FE3DAB" w:rsidP="00C54E9B">
      <w:pPr>
        <w:spacing w:line="276" w:lineRule="auto"/>
        <w:jc w:val="both"/>
        <w:rPr>
          <w:b/>
          <w:bCs/>
          <w:sz w:val="24"/>
          <w:szCs w:val="24"/>
        </w:rPr>
      </w:pPr>
    </w:p>
    <w:p w14:paraId="16B57E56" w14:textId="17AC8E42" w:rsidR="00FE3DAB" w:rsidRDefault="00FE3DAB" w:rsidP="00695907">
      <w:pPr>
        <w:spacing w:before="120" w:after="120" w:line="276" w:lineRule="auto"/>
        <w:rPr>
          <w:b/>
          <w:bCs/>
          <w:sz w:val="24"/>
          <w:szCs w:val="24"/>
        </w:rPr>
      </w:pPr>
      <w:r w:rsidRPr="008F5EB1">
        <w:rPr>
          <w:b/>
          <w:bCs/>
          <w:sz w:val="24"/>
          <w:szCs w:val="24"/>
        </w:rPr>
        <w:t>APPLIES TO</w:t>
      </w:r>
    </w:p>
    <w:p w14:paraId="4BBC6675" w14:textId="77777777" w:rsidR="00FE3DAB" w:rsidRPr="00C54E9B" w:rsidRDefault="00FE3DAB" w:rsidP="00C54E9B">
      <w:pPr>
        <w:spacing w:line="276" w:lineRule="auto"/>
        <w:jc w:val="both"/>
      </w:pPr>
      <w:bookmarkStart w:id="2" w:name="_Hlk132369112"/>
      <w:bookmarkStart w:id="3" w:name="_Hlk132368858"/>
      <w:r w:rsidRPr="00C54E9B">
        <w:t>This Policy applies to</w:t>
      </w:r>
      <w:r w:rsidRPr="00C54E9B">
        <w:rPr>
          <w:b/>
        </w:rPr>
        <w:t>:</w:t>
      </w:r>
    </w:p>
    <w:p w14:paraId="15B37FB5" w14:textId="77777777" w:rsidR="00FE3DAB" w:rsidRPr="00C54E9B" w:rsidRDefault="00FE3DAB" w:rsidP="00C54E9B">
      <w:pPr>
        <w:spacing w:line="276" w:lineRule="auto"/>
        <w:jc w:val="both"/>
      </w:pPr>
      <w:r w:rsidRPr="00C54E9B">
        <w:t xml:space="preserve"> </w:t>
      </w:r>
    </w:p>
    <w:p w14:paraId="2236F722" w14:textId="77777777" w:rsidR="00FE3DAB" w:rsidRPr="00C54E9B" w:rsidRDefault="00FE3DAB" w:rsidP="00C54E9B">
      <w:pPr>
        <w:pStyle w:val="ListParagraph"/>
        <w:numPr>
          <w:ilvl w:val="0"/>
          <w:numId w:val="1"/>
        </w:numPr>
        <w:spacing w:line="276" w:lineRule="auto"/>
        <w:contextualSpacing w:val="0"/>
        <w:jc w:val="both"/>
        <w:rPr>
          <w:bCs/>
        </w:rPr>
      </w:pPr>
      <w:r w:rsidRPr="00C54E9B">
        <w:rPr>
          <w:bCs/>
        </w:rPr>
        <w:t>The Board</w:t>
      </w:r>
    </w:p>
    <w:p w14:paraId="31B3858E" w14:textId="77777777" w:rsidR="00FE3DAB" w:rsidRPr="00C54E9B" w:rsidRDefault="00FE3DAB" w:rsidP="00C54E9B">
      <w:pPr>
        <w:pStyle w:val="ListParagraph"/>
        <w:numPr>
          <w:ilvl w:val="0"/>
          <w:numId w:val="1"/>
        </w:numPr>
        <w:spacing w:line="276" w:lineRule="auto"/>
        <w:contextualSpacing w:val="0"/>
        <w:jc w:val="both"/>
        <w:rPr>
          <w:bCs/>
        </w:rPr>
      </w:pPr>
      <w:r w:rsidRPr="00C54E9B">
        <w:rPr>
          <w:bCs/>
        </w:rPr>
        <w:t>The CEO</w:t>
      </w:r>
    </w:p>
    <w:p w14:paraId="4F1766E3" w14:textId="77777777" w:rsidR="00FE3DAB" w:rsidRPr="00C54E9B" w:rsidRDefault="00FE3DAB" w:rsidP="00C54E9B">
      <w:pPr>
        <w:pStyle w:val="ListParagraph"/>
        <w:numPr>
          <w:ilvl w:val="0"/>
          <w:numId w:val="1"/>
        </w:numPr>
        <w:spacing w:line="276" w:lineRule="auto"/>
        <w:contextualSpacing w:val="0"/>
        <w:jc w:val="both"/>
        <w:rPr>
          <w:bCs/>
        </w:rPr>
      </w:pPr>
      <w:r w:rsidRPr="00C54E9B">
        <w:rPr>
          <w:bCs/>
        </w:rPr>
        <w:t>Managers</w:t>
      </w:r>
    </w:p>
    <w:p w14:paraId="4FD2E52F" w14:textId="77777777" w:rsidR="00FE3DAB" w:rsidRPr="00C54E9B" w:rsidRDefault="00FE3DAB" w:rsidP="00C54E9B">
      <w:pPr>
        <w:pStyle w:val="ListParagraph"/>
        <w:numPr>
          <w:ilvl w:val="0"/>
          <w:numId w:val="1"/>
        </w:numPr>
        <w:spacing w:line="276" w:lineRule="auto"/>
        <w:contextualSpacing w:val="0"/>
        <w:jc w:val="both"/>
        <w:rPr>
          <w:bCs/>
        </w:rPr>
      </w:pPr>
      <w:r w:rsidRPr="00C54E9B">
        <w:rPr>
          <w:bCs/>
        </w:rPr>
        <w:t>Employees</w:t>
      </w:r>
    </w:p>
    <w:bookmarkEnd w:id="2"/>
    <w:p w14:paraId="68AF2A4B" w14:textId="77777777" w:rsidR="00FE3DAB" w:rsidRPr="00C54E9B" w:rsidRDefault="00FE3DAB" w:rsidP="00C54E9B">
      <w:pPr>
        <w:pStyle w:val="Heading1"/>
        <w:spacing w:before="0" w:line="276" w:lineRule="auto"/>
        <w:jc w:val="both"/>
        <w:rPr>
          <w:rFonts w:ascii="Century Gothic" w:hAnsi="Century Gothic"/>
          <w:b w:val="0"/>
          <w:bCs/>
          <w:color w:val="0E101A"/>
          <w:sz w:val="22"/>
          <w:szCs w:val="22"/>
        </w:rPr>
      </w:pPr>
    </w:p>
    <w:p w14:paraId="3F8B57E4" w14:textId="0B656995" w:rsidR="00695907" w:rsidRPr="00695907" w:rsidRDefault="00FE3DAB" w:rsidP="00C54E9B">
      <w:pPr>
        <w:spacing w:line="276" w:lineRule="auto"/>
        <w:jc w:val="both"/>
      </w:pPr>
      <w:r w:rsidRPr="00C54E9B">
        <w:t>The Policy will also apply to third parties the Public Trustee engages, such as contractors and consultants.</w:t>
      </w:r>
      <w:bookmarkEnd w:id="3"/>
    </w:p>
    <w:p w14:paraId="33AAB053" w14:textId="77777777" w:rsidR="00FE3DAB" w:rsidRPr="008F5EB1" w:rsidRDefault="00FE3DAB" w:rsidP="00840568">
      <w:pPr>
        <w:spacing w:before="240" w:after="120" w:line="276" w:lineRule="auto"/>
        <w:rPr>
          <w:b/>
          <w:bCs/>
          <w:sz w:val="24"/>
          <w:szCs w:val="24"/>
        </w:rPr>
      </w:pPr>
      <w:r w:rsidRPr="008F5EB1">
        <w:rPr>
          <w:b/>
          <w:bCs/>
          <w:sz w:val="24"/>
          <w:szCs w:val="24"/>
        </w:rPr>
        <w:t>POLICY STATEMENT</w:t>
      </w:r>
    </w:p>
    <w:p w14:paraId="59C2E866" w14:textId="3A1AC81A" w:rsidR="00840568" w:rsidRDefault="00834777" w:rsidP="00C54E9B">
      <w:pPr>
        <w:spacing w:line="276" w:lineRule="auto"/>
        <w:jc w:val="both"/>
      </w:pPr>
      <w:r w:rsidRPr="00C54E9B">
        <w:t xml:space="preserve">The protection of privacy of personal information is </w:t>
      </w:r>
      <w:r w:rsidR="00C54E9B" w:rsidRPr="00C54E9B">
        <w:t>essential for</w:t>
      </w:r>
      <w:r w:rsidRPr="00C54E9B">
        <w:t xml:space="preserve"> managing sensitive client information</w:t>
      </w:r>
      <w:r w:rsidR="00C54E9B" w:rsidRPr="00C54E9B">
        <w:t xml:space="preserve"> and maintaining the </w:t>
      </w:r>
      <w:r w:rsidR="001C4B1C">
        <w:t xml:space="preserve">public trust, that is, the </w:t>
      </w:r>
      <w:r w:rsidR="00C54E9B" w:rsidRPr="00C54E9B">
        <w:t>professionalism and reputation of the services of the Public Trustee.</w:t>
      </w:r>
      <w:r w:rsidR="00840568">
        <w:t xml:space="preserve"> </w:t>
      </w:r>
    </w:p>
    <w:p w14:paraId="18DD83B4" w14:textId="5C1A5F8F" w:rsidR="00840568" w:rsidRPr="00840568" w:rsidRDefault="00840568" w:rsidP="00840568">
      <w:pPr>
        <w:spacing w:before="240" w:after="120" w:line="276" w:lineRule="auto"/>
        <w:rPr>
          <w:b/>
          <w:bCs/>
          <w:sz w:val="24"/>
          <w:szCs w:val="24"/>
        </w:rPr>
      </w:pPr>
      <w:r w:rsidRPr="00840568">
        <w:rPr>
          <w:b/>
          <w:bCs/>
          <w:sz w:val="24"/>
          <w:szCs w:val="24"/>
        </w:rPr>
        <w:t>LEGISLATION</w:t>
      </w:r>
    </w:p>
    <w:p w14:paraId="00576E42" w14:textId="77777777" w:rsidR="00840568" w:rsidRDefault="00840568" w:rsidP="00C54E9B">
      <w:pPr>
        <w:spacing w:line="276" w:lineRule="auto"/>
        <w:jc w:val="both"/>
      </w:pPr>
      <w:r>
        <w:t xml:space="preserve">The </w:t>
      </w:r>
      <w:r w:rsidRPr="00840568">
        <w:rPr>
          <w:i/>
          <w:iCs/>
        </w:rPr>
        <w:t>Public Trustee Act 1930</w:t>
      </w:r>
      <w:r>
        <w:t xml:space="preserve"> (Section 8) stipulates that all employees are bound by confidentiality requirements, except as is necessary in the performance of their duties, or as authorised by law.</w:t>
      </w:r>
    </w:p>
    <w:p w14:paraId="2FE04995" w14:textId="77777777" w:rsidR="00840568" w:rsidRDefault="00840568" w:rsidP="00C54E9B">
      <w:pPr>
        <w:spacing w:line="276" w:lineRule="auto"/>
        <w:jc w:val="both"/>
      </w:pPr>
    </w:p>
    <w:p w14:paraId="0F1C27F1" w14:textId="352D8F54" w:rsidR="00FE3DAB" w:rsidRDefault="00C54E9B" w:rsidP="00C54E9B">
      <w:pPr>
        <w:spacing w:line="276" w:lineRule="auto"/>
        <w:jc w:val="both"/>
      </w:pPr>
      <w:r w:rsidRPr="00C54E9B">
        <w:t xml:space="preserve">The </w:t>
      </w:r>
      <w:r w:rsidR="00A7133C" w:rsidRPr="00C54E9B">
        <w:rPr>
          <w:i/>
          <w:iCs/>
        </w:rPr>
        <w:t>Personal Information Protection Act 2004</w:t>
      </w:r>
      <w:r w:rsidR="00A7133C" w:rsidRPr="00C54E9B">
        <w:t>, (the Act). The Act governs the way the Public Trustee collects</w:t>
      </w:r>
      <w:r w:rsidRPr="00C54E9B">
        <w:t>,</w:t>
      </w:r>
      <w:r w:rsidR="00A7133C" w:rsidRPr="00C54E9B">
        <w:t xml:space="preserve"> holds and discloses information. </w:t>
      </w:r>
      <w:r w:rsidRPr="00C54E9B">
        <w:t>Schedule 1 of the Act details the principles for compliance to be upheld by all employees of the Public Trustee.</w:t>
      </w:r>
      <w:r w:rsidR="00840568">
        <w:t xml:space="preserve"> </w:t>
      </w:r>
      <w:r w:rsidR="00A7133C" w:rsidRPr="00C54E9B">
        <w:t>In addition to compliance with the Act, from time to time, the Public Trustee may be subject to the requirements of the Privacy Act 1988 (Commonwealth).</w:t>
      </w:r>
    </w:p>
    <w:p w14:paraId="041873FB" w14:textId="77777777" w:rsidR="00652335" w:rsidRDefault="00652335" w:rsidP="00C54E9B">
      <w:pPr>
        <w:spacing w:line="276" w:lineRule="auto"/>
        <w:jc w:val="both"/>
      </w:pPr>
    </w:p>
    <w:p w14:paraId="06B6D0F0" w14:textId="36909AC4" w:rsidR="00652335" w:rsidRDefault="00652335" w:rsidP="00C54E9B">
      <w:pPr>
        <w:spacing w:line="276" w:lineRule="auto"/>
        <w:jc w:val="both"/>
      </w:pPr>
      <w:r>
        <w:t xml:space="preserve">The </w:t>
      </w:r>
      <w:r w:rsidRPr="00F66FE6">
        <w:rPr>
          <w:i/>
          <w:iCs/>
        </w:rPr>
        <w:t xml:space="preserve">Guardianship and Administration Act </w:t>
      </w:r>
      <w:r w:rsidR="00245629" w:rsidRPr="00F66FE6">
        <w:rPr>
          <w:i/>
          <w:iCs/>
        </w:rPr>
        <w:t>1995</w:t>
      </w:r>
      <w:r>
        <w:t>, Section 5(i) details the ways in which the personal and social well-being of a person is promoted by ‘</w:t>
      </w:r>
      <w:r w:rsidRPr="00652335">
        <w:t>respecting the person's right to privacy and to have contact with and correspond privately with others</w:t>
      </w:r>
      <w:r>
        <w:t>.’</w:t>
      </w:r>
    </w:p>
    <w:p w14:paraId="48E0C3F8" w14:textId="77777777" w:rsidR="00992AF6" w:rsidRDefault="00992AF6" w:rsidP="00C54E9B">
      <w:pPr>
        <w:spacing w:line="276" w:lineRule="auto"/>
        <w:jc w:val="both"/>
      </w:pPr>
    </w:p>
    <w:p w14:paraId="0FA80434" w14:textId="0F5490C0" w:rsidR="00992AF6" w:rsidRPr="00C54E9B" w:rsidRDefault="00992AF6" w:rsidP="00C54E9B">
      <w:pPr>
        <w:spacing w:line="276" w:lineRule="auto"/>
        <w:jc w:val="both"/>
      </w:pPr>
      <w:r>
        <w:t xml:space="preserve">Australia’s compliance with the </w:t>
      </w:r>
      <w:r w:rsidRPr="00F66FE6">
        <w:rPr>
          <w:i/>
          <w:iCs/>
        </w:rPr>
        <w:t>United Nations Convention on the Rights of Persons with Disabilities</w:t>
      </w:r>
      <w:r>
        <w:t xml:space="preserve"> (UNCRPD) includes Respect for Privacy (Article 22) was assessed by the </w:t>
      </w:r>
      <w:r w:rsidRPr="00F66FE6">
        <w:rPr>
          <w:i/>
          <w:iCs/>
        </w:rPr>
        <w:t>Royal Commission into Violence, Abuse, Neglect and Exploitation of People with Disability</w:t>
      </w:r>
      <w:r w:rsidR="00840568">
        <w:t>. The Research report</w:t>
      </w:r>
      <w:r>
        <w:t xml:space="preserve"> investigat</w:t>
      </w:r>
      <w:r w:rsidR="00840568">
        <w:t>es</w:t>
      </w:r>
      <w:r>
        <w:t xml:space="preserve"> case studies</w:t>
      </w:r>
      <w:r w:rsidR="00840568">
        <w:t xml:space="preserve"> regarding the right to privacy of medication information and protection from misuse of that information</w:t>
      </w:r>
      <w:r>
        <w:t>.</w:t>
      </w:r>
      <w:r>
        <w:rPr>
          <w:rStyle w:val="FootnoteReference"/>
        </w:rPr>
        <w:footnoteReference w:id="1"/>
      </w:r>
    </w:p>
    <w:p w14:paraId="417E885C" w14:textId="77777777" w:rsidR="00C54E9B" w:rsidRPr="00C54E9B" w:rsidRDefault="00C54E9B" w:rsidP="00C54E9B">
      <w:pPr>
        <w:spacing w:line="276" w:lineRule="auto"/>
        <w:jc w:val="both"/>
      </w:pPr>
    </w:p>
    <w:p w14:paraId="78A26100" w14:textId="0CF479C4" w:rsidR="00992AF6" w:rsidRPr="00840568" w:rsidRDefault="00C54E9B" w:rsidP="00840568">
      <w:pPr>
        <w:spacing w:line="276" w:lineRule="auto"/>
        <w:jc w:val="both"/>
      </w:pPr>
      <w:r w:rsidRPr="00C54E9B">
        <w:lastRenderedPageBreak/>
        <w:t>This policy is to be read in concert with the Public Interest Disclosure Policy and Procedure</w:t>
      </w:r>
      <w:r w:rsidR="00695907">
        <w:t xml:space="preserve"> and </w:t>
      </w:r>
      <w:r w:rsidR="00F66FE6">
        <w:t xml:space="preserve">the </w:t>
      </w:r>
      <w:r w:rsidR="0097277F">
        <w:t>Information</w:t>
      </w:r>
      <w:r w:rsidR="00695907">
        <w:t xml:space="preserve"> Governance Framework (2025)</w:t>
      </w:r>
      <w:r>
        <w:t xml:space="preserve"> </w:t>
      </w:r>
    </w:p>
    <w:p w14:paraId="07470815" w14:textId="043822F9" w:rsidR="00BB775A" w:rsidRPr="00932668" w:rsidRDefault="00BB775A" w:rsidP="00840568">
      <w:pPr>
        <w:spacing w:before="240" w:after="120" w:line="276" w:lineRule="auto"/>
        <w:rPr>
          <w:b/>
          <w:bCs/>
          <w:sz w:val="24"/>
          <w:szCs w:val="24"/>
        </w:rPr>
      </w:pPr>
      <w:r w:rsidRPr="00932668">
        <w:rPr>
          <w:b/>
          <w:bCs/>
          <w:sz w:val="24"/>
          <w:szCs w:val="24"/>
        </w:rPr>
        <w:t>DEFINITIONS</w:t>
      </w:r>
    </w:p>
    <w:p w14:paraId="0128A69A" w14:textId="0FD2784C" w:rsidR="00695907" w:rsidRPr="00695907" w:rsidRDefault="00695907" w:rsidP="00695907">
      <w:pPr>
        <w:spacing w:line="276" w:lineRule="auto"/>
        <w:jc w:val="both"/>
      </w:pPr>
      <w:r w:rsidRPr="00695907">
        <w:rPr>
          <w:b/>
          <w:bCs/>
        </w:rPr>
        <w:t>personal information</w:t>
      </w:r>
      <w:r w:rsidRPr="00695907">
        <w:t xml:space="preserve"> encompasses a broad range of information under the </w:t>
      </w:r>
      <w:r w:rsidRPr="00695907">
        <w:rPr>
          <w:i/>
          <w:iCs/>
        </w:rPr>
        <w:t>Privacy Act 1988</w:t>
      </w:r>
      <w:r>
        <w:rPr>
          <w:i/>
          <w:iCs/>
        </w:rPr>
        <w:t xml:space="preserve"> (Cth)</w:t>
      </w:r>
      <w:r w:rsidRPr="00695907">
        <w:t>. For example</w:t>
      </w:r>
      <w:r>
        <w:t>:</w:t>
      </w:r>
    </w:p>
    <w:p w14:paraId="0F8C186C" w14:textId="6826022D" w:rsidR="00695907" w:rsidRPr="00695907" w:rsidRDefault="00695907" w:rsidP="00695907">
      <w:pPr>
        <w:numPr>
          <w:ilvl w:val="0"/>
          <w:numId w:val="6"/>
        </w:numPr>
        <w:spacing w:line="276" w:lineRule="auto"/>
        <w:jc w:val="both"/>
      </w:pPr>
      <w:r w:rsidRPr="00695907">
        <w:t xml:space="preserve">‘sensitive information’ (includes information or opinion about an individual’s racial or ethnic origin, political opinion, religious beliefs, sexual orientation or criminal record, provided the information or opinion otherwise meets the definition of personal information) </w:t>
      </w:r>
    </w:p>
    <w:p w14:paraId="0C919CBD" w14:textId="2FDCAD0A" w:rsidR="00695907" w:rsidRPr="00695907" w:rsidRDefault="00695907" w:rsidP="00695907">
      <w:pPr>
        <w:numPr>
          <w:ilvl w:val="0"/>
          <w:numId w:val="6"/>
        </w:numPr>
        <w:spacing w:line="276" w:lineRule="auto"/>
        <w:jc w:val="both"/>
      </w:pPr>
      <w:r w:rsidRPr="00695907">
        <w:t xml:space="preserve">‘health information’ (which is also ‘sensitive information’) </w:t>
      </w:r>
    </w:p>
    <w:p w14:paraId="4936B1CC" w14:textId="3FE71972" w:rsidR="00695907" w:rsidRPr="00695907" w:rsidRDefault="00695907" w:rsidP="00695907">
      <w:pPr>
        <w:numPr>
          <w:ilvl w:val="0"/>
          <w:numId w:val="6"/>
        </w:numPr>
        <w:spacing w:line="276" w:lineRule="auto"/>
        <w:jc w:val="both"/>
      </w:pPr>
      <w:r w:rsidRPr="00695907">
        <w:t>‘credit information’</w:t>
      </w:r>
    </w:p>
    <w:p w14:paraId="524FCAF8" w14:textId="53700AE1" w:rsidR="00695907" w:rsidRPr="00695907" w:rsidRDefault="00695907" w:rsidP="00695907">
      <w:pPr>
        <w:numPr>
          <w:ilvl w:val="0"/>
          <w:numId w:val="6"/>
        </w:numPr>
        <w:spacing w:line="276" w:lineRule="auto"/>
        <w:jc w:val="both"/>
      </w:pPr>
      <w:r w:rsidRPr="00695907">
        <w:t xml:space="preserve">‘employee record’ information (subject to </w:t>
      </w:r>
      <w:r w:rsidR="001C4B1C" w:rsidRPr="00695907">
        <w:t>exemptions)</w:t>
      </w:r>
      <w:r w:rsidRPr="00695907">
        <w:t>, and</w:t>
      </w:r>
    </w:p>
    <w:p w14:paraId="5A2A64CF" w14:textId="2D4A1C3E" w:rsidR="00695907" w:rsidRPr="00695907" w:rsidRDefault="00695907" w:rsidP="00695907">
      <w:pPr>
        <w:numPr>
          <w:ilvl w:val="0"/>
          <w:numId w:val="6"/>
        </w:numPr>
        <w:spacing w:line="276" w:lineRule="auto"/>
        <w:jc w:val="both"/>
      </w:pPr>
      <w:r w:rsidRPr="00695907">
        <w:t xml:space="preserve">‘tax file number information’. </w:t>
      </w:r>
    </w:p>
    <w:p w14:paraId="4D16A624" w14:textId="77777777" w:rsidR="00695907" w:rsidRDefault="00695907" w:rsidP="00BB775A">
      <w:pPr>
        <w:spacing w:line="276" w:lineRule="auto"/>
        <w:jc w:val="both"/>
      </w:pPr>
    </w:p>
    <w:p w14:paraId="6A9070A6" w14:textId="5B205822" w:rsidR="00BB775A" w:rsidRDefault="00BB775A" w:rsidP="00BB775A">
      <w:pPr>
        <w:spacing w:line="276" w:lineRule="auto"/>
        <w:jc w:val="both"/>
      </w:pPr>
      <w:r>
        <w:t xml:space="preserve">The </w:t>
      </w:r>
      <w:hyperlink r:id="rId9" w:history="1">
        <w:r w:rsidRPr="001C4B1C">
          <w:rPr>
            <w:rStyle w:val="Hyperlink"/>
            <w:i/>
            <w:iCs/>
          </w:rPr>
          <w:t>Guardianship and Administration Act 1995</w:t>
        </w:r>
      </w:hyperlink>
      <w:r>
        <w:t xml:space="preserve"> provides further details on personal matters that may be subject to privacy laws and the protection of confidential client information must be prioritised.</w:t>
      </w:r>
      <w:r w:rsidR="000D4128">
        <w:t xml:space="preserve"> Part 1. Section 3(1):</w:t>
      </w:r>
    </w:p>
    <w:p w14:paraId="423E89C3" w14:textId="77777777" w:rsidR="00BB775A" w:rsidRDefault="00BB775A" w:rsidP="00BB775A">
      <w:pPr>
        <w:spacing w:line="276" w:lineRule="auto"/>
        <w:jc w:val="both"/>
      </w:pPr>
    </w:p>
    <w:p w14:paraId="7437E889" w14:textId="77777777" w:rsidR="00BB775A" w:rsidRDefault="00BB775A" w:rsidP="000D4128">
      <w:pPr>
        <w:spacing w:line="276" w:lineRule="auto"/>
        <w:ind w:left="567"/>
        <w:jc w:val="both"/>
      </w:pPr>
      <w:r w:rsidRPr="00245629">
        <w:rPr>
          <w:b/>
          <w:bCs/>
          <w:i/>
          <w:iCs/>
        </w:rPr>
        <w:t>personal matter</w:t>
      </w:r>
      <w:r w:rsidRPr="00245629">
        <w:t>, in relation to a person, means a matter relating to the personal affairs or lifestyle of the person, including, but not limited to, the following matters:</w:t>
      </w:r>
      <w:bookmarkStart w:id="4" w:name="GS3@Gs1@Nd205772@Hpa@EN"/>
      <w:bookmarkEnd w:id="4"/>
    </w:p>
    <w:p w14:paraId="1FE0C2C9" w14:textId="77777777" w:rsidR="00BB775A" w:rsidRPr="00245629" w:rsidRDefault="00BB775A" w:rsidP="000D4128">
      <w:pPr>
        <w:spacing w:line="276" w:lineRule="auto"/>
        <w:ind w:left="567"/>
        <w:jc w:val="both"/>
      </w:pPr>
    </w:p>
    <w:p w14:paraId="0C9D6BF8" w14:textId="77777777" w:rsidR="00BB775A" w:rsidRPr="00245629" w:rsidRDefault="00BB775A" w:rsidP="000D4128">
      <w:pPr>
        <w:spacing w:line="276" w:lineRule="auto"/>
        <w:ind w:left="1134" w:hanging="567"/>
        <w:jc w:val="both"/>
      </w:pPr>
      <w:r w:rsidRPr="00245629">
        <w:t xml:space="preserve">(a) </w:t>
      </w:r>
      <w:r>
        <w:tab/>
      </w:r>
      <w:r w:rsidRPr="00245629">
        <w:t>where and with whom the person lives, whether permanently or temporarily;</w:t>
      </w:r>
    </w:p>
    <w:p w14:paraId="0E43BF7F" w14:textId="77777777" w:rsidR="00BB775A" w:rsidRPr="00245629" w:rsidRDefault="00BB775A" w:rsidP="000D4128">
      <w:pPr>
        <w:spacing w:line="276" w:lineRule="auto"/>
        <w:ind w:left="1134" w:hanging="567"/>
        <w:jc w:val="both"/>
      </w:pPr>
      <w:bookmarkStart w:id="5" w:name="GS3@Gs1@Nd205772@Hpb@EN"/>
      <w:bookmarkEnd w:id="5"/>
      <w:r w:rsidRPr="00245629">
        <w:t xml:space="preserve">(b) </w:t>
      </w:r>
      <w:r>
        <w:tab/>
      </w:r>
      <w:r w:rsidRPr="00245629">
        <w:t>who may contact (whether by post, telephone, or electronic or other means) or visit the person, including –</w:t>
      </w:r>
      <w:bookmarkStart w:id="6" w:name="GS3@Gs1@Nd205772@Hpb@Hqi@EN"/>
      <w:bookmarkEnd w:id="6"/>
    </w:p>
    <w:p w14:paraId="581619AB" w14:textId="77777777" w:rsidR="00BB775A" w:rsidRPr="00245629" w:rsidRDefault="00BB775A" w:rsidP="000D4128">
      <w:pPr>
        <w:spacing w:line="276" w:lineRule="auto"/>
        <w:ind w:left="1701" w:hanging="567"/>
        <w:jc w:val="both"/>
      </w:pPr>
      <w:r w:rsidRPr="00245629">
        <w:t xml:space="preserve">(i) </w:t>
      </w:r>
      <w:r>
        <w:tab/>
      </w:r>
      <w:r w:rsidRPr="00245629">
        <w:t>restrictions on contact with the person or visits to the person that are necessary to promote the personal and social well-being of the person; and</w:t>
      </w:r>
    </w:p>
    <w:p w14:paraId="62E3873E" w14:textId="77777777" w:rsidR="00BB775A" w:rsidRPr="00245629" w:rsidRDefault="00BB775A" w:rsidP="000D4128">
      <w:pPr>
        <w:spacing w:line="276" w:lineRule="auto"/>
        <w:ind w:left="1701" w:hanging="567"/>
        <w:jc w:val="both"/>
      </w:pPr>
      <w:bookmarkStart w:id="7" w:name="GS3@Gs1@Nd205772@Hpb@Hqii@EN"/>
      <w:bookmarkEnd w:id="7"/>
      <w:r w:rsidRPr="00245629">
        <w:t xml:space="preserve">(ii) </w:t>
      </w:r>
      <w:r>
        <w:tab/>
      </w:r>
      <w:r w:rsidRPr="00245629">
        <w:t>the prohibition on contact with, or visits to, the person by any person if that contact or those visits would have an adverse effect on the person;</w:t>
      </w:r>
    </w:p>
    <w:p w14:paraId="4DC8325C" w14:textId="77777777" w:rsidR="00BB775A" w:rsidRPr="00245629" w:rsidRDefault="00BB775A" w:rsidP="000D4128">
      <w:pPr>
        <w:spacing w:line="276" w:lineRule="auto"/>
        <w:ind w:left="1134" w:hanging="567"/>
        <w:jc w:val="both"/>
      </w:pPr>
      <w:bookmarkStart w:id="8" w:name="GS3@Gs1@Nd205772@Hpc@EN"/>
      <w:bookmarkEnd w:id="8"/>
      <w:r w:rsidRPr="00245629">
        <w:t xml:space="preserve">(c) </w:t>
      </w:r>
      <w:r>
        <w:tab/>
      </w:r>
      <w:r w:rsidRPr="00245629">
        <w:t>the provision of care services to the person;</w:t>
      </w:r>
    </w:p>
    <w:p w14:paraId="1440CF49" w14:textId="77777777" w:rsidR="00BB775A" w:rsidRPr="00245629" w:rsidRDefault="00BB775A" w:rsidP="000D4128">
      <w:pPr>
        <w:spacing w:line="276" w:lineRule="auto"/>
        <w:ind w:left="1134" w:hanging="567"/>
        <w:jc w:val="both"/>
      </w:pPr>
      <w:bookmarkStart w:id="9" w:name="GS3@Gs1@Nd205772@Hpd@EN"/>
      <w:bookmarkEnd w:id="9"/>
      <w:r w:rsidRPr="00245629">
        <w:t xml:space="preserve">(d) </w:t>
      </w:r>
      <w:r>
        <w:tab/>
      </w:r>
      <w:r w:rsidRPr="00245629">
        <w:t>what education, training or work the person undertakes;</w:t>
      </w:r>
    </w:p>
    <w:p w14:paraId="155CF186" w14:textId="77777777" w:rsidR="00BB775A" w:rsidRPr="00245629" w:rsidRDefault="00BB775A" w:rsidP="000D4128">
      <w:pPr>
        <w:spacing w:line="276" w:lineRule="auto"/>
        <w:ind w:left="1134" w:hanging="567"/>
        <w:jc w:val="both"/>
      </w:pPr>
      <w:bookmarkStart w:id="10" w:name="GS3@Gs1@Nd205772@Hpe@EN"/>
      <w:bookmarkEnd w:id="10"/>
      <w:r w:rsidRPr="00245629">
        <w:t xml:space="preserve">(e) </w:t>
      </w:r>
      <w:r>
        <w:tab/>
      </w:r>
      <w:r w:rsidRPr="00245629">
        <w:t>except as provided under </w:t>
      </w:r>
      <w:hyperlink r:id="rId10" w:anchor="HP5A@EN" w:history="1">
        <w:r w:rsidRPr="00245629">
          <w:rPr>
            <w:rStyle w:val="Hyperlink"/>
          </w:rPr>
          <w:t>Parts 5A</w:t>
        </w:r>
      </w:hyperlink>
      <w:r w:rsidRPr="00245629">
        <w:t> and </w:t>
      </w:r>
      <w:hyperlink r:id="rId11" w:anchor="HP6@EN" w:history="1">
        <w:r w:rsidRPr="00245629">
          <w:rPr>
            <w:rStyle w:val="Hyperlink"/>
          </w:rPr>
          <w:t>6</w:t>
        </w:r>
      </w:hyperlink>
      <w:r w:rsidRPr="00245629">
        <w:t> , consenting to or refusing or withdrawing consent to the provision of health care or medical or dental treatment to the person;</w:t>
      </w:r>
    </w:p>
    <w:p w14:paraId="29AA5887" w14:textId="77777777" w:rsidR="00BB775A" w:rsidRPr="00245629" w:rsidRDefault="00BB775A" w:rsidP="000D4128">
      <w:pPr>
        <w:spacing w:line="276" w:lineRule="auto"/>
        <w:ind w:left="1134" w:hanging="567"/>
        <w:jc w:val="both"/>
      </w:pPr>
      <w:bookmarkStart w:id="11" w:name="GS3@Gs1@Nd205772@Hpf@EN"/>
      <w:bookmarkEnd w:id="11"/>
      <w:r w:rsidRPr="00245629">
        <w:t xml:space="preserve">(f) </w:t>
      </w:r>
      <w:r>
        <w:tab/>
      </w:r>
      <w:r w:rsidRPr="00245629">
        <w:t>except as provided under </w:t>
      </w:r>
      <w:hyperlink r:id="rId12" w:anchor="HP6A@EN" w:history="1">
        <w:r w:rsidRPr="00245629">
          <w:rPr>
            <w:rStyle w:val="Hyperlink"/>
          </w:rPr>
          <w:t>Part 6A</w:t>
        </w:r>
      </w:hyperlink>
      <w:r w:rsidRPr="00245629">
        <w:t> , consenting to or refusing or withdrawing consent to the conduct of health and medical research in relation to the person;</w:t>
      </w:r>
      <w:r>
        <w:t xml:space="preserve"> [and]</w:t>
      </w:r>
    </w:p>
    <w:p w14:paraId="00A88E5D" w14:textId="1870F15C" w:rsidR="00BB775A" w:rsidRDefault="00BB775A" w:rsidP="001C4B1C">
      <w:pPr>
        <w:spacing w:line="276" w:lineRule="auto"/>
        <w:ind w:left="1134" w:hanging="567"/>
        <w:jc w:val="both"/>
      </w:pPr>
      <w:bookmarkStart w:id="12" w:name="GS3@Gs1@Nd205772@Hpg@EN"/>
      <w:bookmarkEnd w:id="12"/>
      <w:r w:rsidRPr="00245629">
        <w:t xml:space="preserve">(g) </w:t>
      </w:r>
      <w:r>
        <w:tab/>
      </w:r>
      <w:r w:rsidRPr="00245629">
        <w:t>any legal matter that relates to the personal affairs of the person</w:t>
      </w:r>
      <w:r>
        <w:t>.</w:t>
      </w:r>
    </w:p>
    <w:p w14:paraId="317D38FB" w14:textId="77777777" w:rsidR="001C4B1C" w:rsidRPr="00840568" w:rsidRDefault="000D4128" w:rsidP="00840568">
      <w:pPr>
        <w:spacing w:before="120" w:after="120" w:line="276" w:lineRule="auto"/>
        <w:jc w:val="both"/>
        <w:rPr>
          <w:b/>
          <w:bCs/>
        </w:rPr>
      </w:pPr>
      <w:r w:rsidRPr="00840568">
        <w:rPr>
          <w:b/>
          <w:bCs/>
        </w:rPr>
        <w:t xml:space="preserve">Supported Decision Making. </w:t>
      </w:r>
    </w:p>
    <w:p w14:paraId="23005F31" w14:textId="5A0E7C01" w:rsidR="000D4128" w:rsidRDefault="00840568" w:rsidP="00BB775A">
      <w:pPr>
        <w:spacing w:line="276" w:lineRule="auto"/>
        <w:jc w:val="both"/>
      </w:pPr>
      <w:r>
        <w:t>The Public Trustee upholds</w:t>
      </w:r>
      <w:r w:rsidR="00BB775A">
        <w:t xml:space="preserve"> Supported Decision Making, </w:t>
      </w:r>
      <w:r>
        <w:t xml:space="preserve">where </w:t>
      </w:r>
      <w:r w:rsidR="00BB775A">
        <w:t>the clients’ rights, will and preferences must be respected and upheld, including their right to privacy</w:t>
      </w:r>
      <w:r>
        <w:t>. This includes their</w:t>
      </w:r>
      <w:r w:rsidR="00BB775A">
        <w:t xml:space="preserve"> decision to withhold personal information</w:t>
      </w:r>
      <w:r w:rsidR="001C4B1C">
        <w:t xml:space="preserve"> from any person, whether an employee, person responsible, or service provider, unless it is ‘</w:t>
      </w:r>
      <w:r w:rsidR="001C4B1C" w:rsidRPr="001C4B1C">
        <w:t xml:space="preserve">necessary to prevent or </w:t>
      </w:r>
      <w:r w:rsidR="001C4B1C" w:rsidRPr="001C4B1C">
        <w:lastRenderedPageBreak/>
        <w:t>lessen a serious and imminent threat to the life or health of any individual and the individual to whom the information relates</w:t>
      </w:r>
      <w:r w:rsidR="001C4B1C">
        <w:t xml:space="preserve">.’ </w:t>
      </w:r>
      <w:r w:rsidR="001C4B1C">
        <w:rPr>
          <w:rStyle w:val="FootnoteReference"/>
        </w:rPr>
        <w:footnoteReference w:id="2"/>
      </w:r>
    </w:p>
    <w:p w14:paraId="10EFE31E" w14:textId="77777777" w:rsidR="000D4128" w:rsidRDefault="000D4128" w:rsidP="00BB775A">
      <w:pPr>
        <w:spacing w:line="276" w:lineRule="auto"/>
        <w:jc w:val="both"/>
      </w:pPr>
    </w:p>
    <w:p w14:paraId="7E8EE80C" w14:textId="0E70094E" w:rsidR="000D4128" w:rsidRDefault="00BB775A" w:rsidP="00BB775A">
      <w:pPr>
        <w:spacing w:line="276" w:lineRule="auto"/>
        <w:jc w:val="both"/>
      </w:pPr>
      <w:r>
        <w:t xml:space="preserve">Section 8 (c) </w:t>
      </w:r>
      <w:r w:rsidR="00E2797D">
        <w:t xml:space="preserve">of the </w:t>
      </w:r>
      <w:r w:rsidR="00E2797D" w:rsidRPr="00E2797D">
        <w:rPr>
          <w:i/>
          <w:iCs/>
        </w:rPr>
        <w:t>Guardianship and Administration Act 1995</w:t>
      </w:r>
      <w:r w:rsidR="00E2797D">
        <w:t xml:space="preserve"> </w:t>
      </w:r>
      <w:r>
        <w:t>requires that ‘</w:t>
      </w:r>
      <w:r w:rsidRPr="00BB775A">
        <w:t>the views, wishes and preferences of a person with impaired decision-making ability in respect of decisions are to be respected and used to inform those decisions</w:t>
      </w:r>
      <w:r>
        <w:t>.’ This includes decisions regarding the confidential sharing of client information with other support agencies, by obtaining the client’s consent</w:t>
      </w:r>
      <w:r w:rsidR="00E2797D">
        <w:t>, wherever possible.</w:t>
      </w:r>
    </w:p>
    <w:p w14:paraId="3AE050EE" w14:textId="77777777" w:rsidR="00992AF6" w:rsidRDefault="00992AF6" w:rsidP="00BB775A">
      <w:pPr>
        <w:spacing w:line="276" w:lineRule="auto"/>
        <w:jc w:val="both"/>
      </w:pPr>
    </w:p>
    <w:p w14:paraId="1C1D77E5" w14:textId="6FF46E28" w:rsidR="00E83E32" w:rsidRDefault="00992AF6" w:rsidP="00C54E9B">
      <w:pPr>
        <w:spacing w:line="276" w:lineRule="auto"/>
        <w:jc w:val="both"/>
      </w:pPr>
      <w:r w:rsidRPr="00992AF6">
        <w:rPr>
          <w:b/>
          <w:bCs/>
        </w:rPr>
        <w:t>Right to Privacy</w:t>
      </w:r>
      <w:r>
        <w:t xml:space="preserve">. The </w:t>
      </w:r>
      <w:r w:rsidRPr="00F66FE6">
        <w:rPr>
          <w:i/>
          <w:iCs/>
        </w:rPr>
        <w:t>United Nations Convention on the Rights of Persons with Disabilities</w:t>
      </w:r>
      <w:r>
        <w:t xml:space="preserve"> (UNCRPD) includes Respect for Privacy (Article 22), and is defined by the </w:t>
      </w:r>
      <w:r w:rsidRPr="00F66FE6">
        <w:rPr>
          <w:i/>
          <w:iCs/>
        </w:rPr>
        <w:t>Royal Commission into Violence, Abuse, Neglect and Exploitation of People with Disability</w:t>
      </w:r>
      <w:r>
        <w:t xml:space="preserve"> as; ‘The ability to control information, particularly knowledge of disability status, is essential for persons with disabilities to maintain autonomy and reduce the risk of discrimination or stigmatisation.’ Article 22 of the UNCRPD requires states to “protect a person with disability’s ‘private sphere’ from uninvited intervention.”</w:t>
      </w:r>
    </w:p>
    <w:p w14:paraId="0B128A6A" w14:textId="77777777" w:rsidR="00695907" w:rsidRPr="008F5EB1" w:rsidRDefault="00695907" w:rsidP="00840568">
      <w:pPr>
        <w:spacing w:before="240" w:after="120" w:line="276" w:lineRule="auto"/>
        <w:rPr>
          <w:b/>
          <w:bCs/>
          <w:sz w:val="24"/>
          <w:szCs w:val="24"/>
        </w:rPr>
      </w:pPr>
      <w:r w:rsidRPr="008F5EB1">
        <w:rPr>
          <w:b/>
          <w:bCs/>
          <w:sz w:val="24"/>
          <w:szCs w:val="24"/>
        </w:rPr>
        <w:t>PROCEDURE</w:t>
      </w:r>
    </w:p>
    <w:p w14:paraId="4B2EEA39" w14:textId="72751628" w:rsidR="001C4B1C" w:rsidRDefault="001C4B1C" w:rsidP="001C4B1C">
      <w:pPr>
        <w:spacing w:line="276" w:lineRule="auto"/>
        <w:jc w:val="both"/>
      </w:pPr>
      <w:r>
        <w:t xml:space="preserve">The Public Trustee is responsible for the professional administration of client affairs whether it is </w:t>
      </w:r>
      <w:r w:rsidR="00076663">
        <w:t>through</w:t>
      </w:r>
      <w:r>
        <w:t xml:space="preserve"> an </w:t>
      </w:r>
      <w:r w:rsidR="00076663">
        <w:t>e</w:t>
      </w:r>
      <w:r>
        <w:t xml:space="preserve">state; </w:t>
      </w:r>
      <w:r w:rsidR="00076663">
        <w:t>t</w:t>
      </w:r>
      <w:r>
        <w:t xml:space="preserve">rust; Guardianship and Administration Order; Enduring Power of Attorney; </w:t>
      </w:r>
      <w:r w:rsidR="00076663">
        <w:t>c</w:t>
      </w:r>
      <w:r>
        <w:t xml:space="preserve">ourt </w:t>
      </w:r>
      <w:r w:rsidR="00076663">
        <w:t>o</w:t>
      </w:r>
      <w:r>
        <w:t xml:space="preserve">rder or some other appointment. The Public Trustee upholds clients’ right to privacy as a fundamental human right and must </w:t>
      </w:r>
      <w:r w:rsidR="00076663">
        <w:t xml:space="preserve">appropriately </w:t>
      </w:r>
      <w:r>
        <w:t>handle personal information obtained in the course of these duties.</w:t>
      </w:r>
    </w:p>
    <w:p w14:paraId="5EE3DFB4" w14:textId="77777777" w:rsidR="001C4B1C" w:rsidRDefault="001C4B1C" w:rsidP="001C4B1C">
      <w:pPr>
        <w:spacing w:line="276" w:lineRule="auto"/>
        <w:jc w:val="both"/>
      </w:pPr>
    </w:p>
    <w:p w14:paraId="6154B0F0" w14:textId="01CAC8FC" w:rsidR="00695907" w:rsidRDefault="00695907" w:rsidP="00695907">
      <w:pPr>
        <w:spacing w:line="276" w:lineRule="auto"/>
        <w:jc w:val="both"/>
        <w:rPr>
          <w:i/>
          <w:iCs/>
          <w:color w:val="0E101A"/>
          <w:lang w:val="en-US"/>
        </w:rPr>
      </w:pPr>
      <w:r w:rsidRPr="00950434">
        <w:rPr>
          <w:color w:val="0E101A"/>
          <w:lang w:val="en-US"/>
        </w:rPr>
        <w:t xml:space="preserve">Compliance with this </w:t>
      </w:r>
      <w:r w:rsidR="00152479">
        <w:rPr>
          <w:color w:val="0E101A"/>
          <w:lang w:val="en-US"/>
        </w:rPr>
        <w:t>p</w:t>
      </w:r>
      <w:r w:rsidRPr="00950434">
        <w:rPr>
          <w:color w:val="0E101A"/>
          <w:lang w:val="en-US"/>
        </w:rPr>
        <w:t xml:space="preserve">olicy requires </w:t>
      </w:r>
      <w:r>
        <w:rPr>
          <w:color w:val="0E101A"/>
          <w:lang w:val="en-US"/>
        </w:rPr>
        <w:t>employees of the</w:t>
      </w:r>
      <w:r w:rsidRPr="00950434">
        <w:rPr>
          <w:color w:val="0E101A"/>
          <w:lang w:val="en-US"/>
        </w:rPr>
        <w:t xml:space="preserve"> Public Trustee, including the Board, </w:t>
      </w:r>
      <w:r>
        <w:rPr>
          <w:color w:val="0E101A"/>
          <w:lang w:val="en-US"/>
        </w:rPr>
        <w:t>to adhere to the Personal Information Protection Principles (Schedule 1 of the Act), and i</w:t>
      </w:r>
      <w:r w:rsidRPr="00950434">
        <w:rPr>
          <w:color w:val="0E101A"/>
          <w:lang w:val="en-US"/>
        </w:rPr>
        <w:t>n circumstances where the Public Trustee is required</w:t>
      </w:r>
      <w:r>
        <w:rPr>
          <w:color w:val="0E101A"/>
          <w:lang w:val="en-US"/>
        </w:rPr>
        <w:t>,</w:t>
      </w:r>
      <w:r w:rsidRPr="00950434">
        <w:rPr>
          <w:color w:val="0E101A"/>
          <w:lang w:val="en-US"/>
        </w:rPr>
        <w:t xml:space="preserve"> to comply with the provisions of the </w:t>
      </w:r>
      <w:r w:rsidRPr="00950434">
        <w:rPr>
          <w:i/>
          <w:iCs/>
          <w:color w:val="0E101A"/>
          <w:lang w:val="en-US"/>
        </w:rPr>
        <w:t>Privacy Act 1988</w:t>
      </w:r>
      <w:r>
        <w:rPr>
          <w:i/>
          <w:iCs/>
          <w:color w:val="0E101A"/>
          <w:lang w:val="en-US"/>
        </w:rPr>
        <w:t>.</w:t>
      </w:r>
      <w:r w:rsidRPr="00950434">
        <w:rPr>
          <w:i/>
          <w:iCs/>
          <w:color w:val="0E101A"/>
          <w:lang w:val="en-US"/>
        </w:rPr>
        <w:t xml:space="preserve"> </w:t>
      </w:r>
    </w:p>
    <w:p w14:paraId="0914DC61" w14:textId="77777777" w:rsidR="00695907" w:rsidRDefault="00695907" w:rsidP="00695907">
      <w:pPr>
        <w:spacing w:line="276" w:lineRule="auto"/>
        <w:jc w:val="both"/>
        <w:rPr>
          <w:i/>
          <w:iCs/>
          <w:color w:val="0E101A"/>
          <w:lang w:val="en-US"/>
        </w:rPr>
      </w:pPr>
    </w:p>
    <w:p w14:paraId="00572C04" w14:textId="18BA0C8D" w:rsidR="00695907" w:rsidRDefault="00695907" w:rsidP="00695907">
      <w:pPr>
        <w:spacing w:line="276" w:lineRule="auto"/>
        <w:jc w:val="both"/>
        <w:rPr>
          <w:color w:val="0E101A"/>
          <w:lang w:val="en-US"/>
        </w:rPr>
      </w:pPr>
      <w:r>
        <w:rPr>
          <w:color w:val="0E101A"/>
          <w:lang w:val="en-US"/>
        </w:rPr>
        <w:t xml:space="preserve">The Public Trustee Privacy Policy will be made available on the </w:t>
      </w:r>
      <w:hyperlink r:id="rId13" w:history="1">
        <w:r w:rsidRPr="00652335">
          <w:rPr>
            <w:rStyle w:val="Hyperlink"/>
            <w:lang w:val="en-US"/>
          </w:rPr>
          <w:t>website</w:t>
        </w:r>
      </w:hyperlink>
      <w:r>
        <w:rPr>
          <w:color w:val="0E101A"/>
          <w:lang w:val="en-US"/>
        </w:rPr>
        <w:t xml:space="preserve"> in </w:t>
      </w:r>
      <w:r w:rsidR="00076663">
        <w:rPr>
          <w:color w:val="0E101A"/>
          <w:lang w:val="en-US"/>
        </w:rPr>
        <w:t xml:space="preserve">an </w:t>
      </w:r>
      <w:r>
        <w:rPr>
          <w:color w:val="0E101A"/>
          <w:lang w:val="en-US"/>
        </w:rPr>
        <w:t>accessible format</w:t>
      </w:r>
      <w:r w:rsidR="00076663">
        <w:rPr>
          <w:color w:val="0E101A"/>
          <w:lang w:val="en-US"/>
        </w:rPr>
        <w:t>,</w:t>
      </w:r>
      <w:r>
        <w:rPr>
          <w:color w:val="0E101A"/>
          <w:lang w:val="en-US"/>
        </w:rPr>
        <w:t xml:space="preserve"> including contact information for making a </w:t>
      </w:r>
      <w:hyperlink r:id="rId14" w:history="1">
        <w:r w:rsidRPr="00245629">
          <w:rPr>
            <w:rStyle w:val="Hyperlink"/>
            <w:lang w:val="en-US"/>
          </w:rPr>
          <w:t>complaint</w:t>
        </w:r>
      </w:hyperlink>
      <w:r w:rsidR="000335B8">
        <w:rPr>
          <w:color w:val="0E101A"/>
          <w:lang w:val="en-US"/>
        </w:rPr>
        <w:t xml:space="preserve"> or requesting information regarding privacy concerns.</w:t>
      </w:r>
    </w:p>
    <w:p w14:paraId="2B404077" w14:textId="592FCC9C" w:rsidR="00695907" w:rsidRPr="007D6AB2" w:rsidRDefault="00695907" w:rsidP="00695907">
      <w:pPr>
        <w:pStyle w:val="BodyText"/>
        <w:spacing w:line="276" w:lineRule="auto"/>
        <w:jc w:val="both"/>
        <w:rPr>
          <w:rFonts w:ascii="Century Gothic" w:hAnsi="Century Gothic"/>
          <w:lang w:val="en-US"/>
        </w:rPr>
      </w:pPr>
      <w:r w:rsidRPr="00932668">
        <w:rPr>
          <w:rFonts w:ascii="Century Gothic" w:hAnsi="Century Gothic"/>
          <w:lang w:val="en-US"/>
        </w:rPr>
        <w:t>The Public Trustee, as a</w:t>
      </w:r>
      <w:r w:rsidRPr="00A7133C">
        <w:rPr>
          <w:rFonts w:ascii="Century Gothic" w:hAnsi="Century Gothic"/>
          <w:lang w:val="en-US"/>
        </w:rPr>
        <w:t xml:space="preserve"> personal information </w:t>
      </w:r>
      <w:r w:rsidR="000335B8" w:rsidRPr="00A7133C">
        <w:rPr>
          <w:rFonts w:ascii="Century Gothic" w:hAnsi="Century Gothic"/>
          <w:lang w:val="en-US"/>
        </w:rPr>
        <w:t>custodian,</w:t>
      </w:r>
      <w:r w:rsidRPr="00A7133C">
        <w:rPr>
          <w:rFonts w:ascii="Century Gothic" w:hAnsi="Century Gothic"/>
          <w:lang w:val="en-US"/>
        </w:rPr>
        <w:t xml:space="preserve"> </w:t>
      </w:r>
      <w:r w:rsidRPr="007D6AB2">
        <w:rPr>
          <w:rFonts w:ascii="Century Gothic" w:hAnsi="Century Gothic"/>
          <w:lang w:val="en-US"/>
        </w:rPr>
        <w:t xml:space="preserve">must </w:t>
      </w:r>
      <w:r>
        <w:rPr>
          <w:rFonts w:ascii="Century Gothic" w:hAnsi="Century Gothic"/>
          <w:lang w:val="en-US"/>
        </w:rPr>
        <w:t>provide</w:t>
      </w:r>
      <w:r w:rsidRPr="007D6AB2">
        <w:rPr>
          <w:rFonts w:ascii="Century Gothic" w:hAnsi="Century Gothic"/>
          <w:lang w:val="en-US"/>
        </w:rPr>
        <w:t xml:space="preserve"> </w:t>
      </w:r>
      <w:r>
        <w:rPr>
          <w:rFonts w:ascii="Century Gothic" w:hAnsi="Century Gothic"/>
          <w:lang w:val="en-US"/>
        </w:rPr>
        <w:t>details of the</w:t>
      </w:r>
      <w:r w:rsidRPr="00A7133C">
        <w:rPr>
          <w:rFonts w:ascii="Century Gothic" w:hAnsi="Century Gothic"/>
          <w:lang w:val="en-US"/>
        </w:rPr>
        <w:t xml:space="preserve"> management of personal information</w:t>
      </w:r>
      <w:r w:rsidRPr="007D6AB2">
        <w:rPr>
          <w:rFonts w:ascii="Century Gothic" w:hAnsi="Century Gothic"/>
          <w:lang w:val="en-US"/>
        </w:rPr>
        <w:t xml:space="preserve"> in accordance with the Act.</w:t>
      </w:r>
    </w:p>
    <w:p w14:paraId="5AF5D2BF" w14:textId="77777777" w:rsidR="00695907" w:rsidRPr="00A7133C" w:rsidRDefault="00695907" w:rsidP="00695907">
      <w:pPr>
        <w:pStyle w:val="BodyText"/>
        <w:spacing w:line="276" w:lineRule="auto"/>
        <w:jc w:val="both"/>
        <w:rPr>
          <w:rFonts w:ascii="Century Gothic" w:hAnsi="Century Gothic"/>
          <w:lang w:val="en-US"/>
        </w:rPr>
      </w:pPr>
      <w:r w:rsidRPr="007D6AB2">
        <w:rPr>
          <w:rFonts w:ascii="Century Gothic" w:hAnsi="Century Gothic"/>
          <w:lang w:val="en-US"/>
        </w:rPr>
        <w:t xml:space="preserve">Any person may make a request for information </w:t>
      </w:r>
      <w:r>
        <w:rPr>
          <w:rFonts w:ascii="Century Gothic" w:hAnsi="Century Gothic"/>
          <w:lang w:val="en-US"/>
        </w:rPr>
        <w:t xml:space="preserve">under the Act and employees </w:t>
      </w:r>
      <w:r w:rsidRPr="00A7133C">
        <w:rPr>
          <w:rFonts w:ascii="Century Gothic" w:hAnsi="Century Gothic"/>
          <w:lang w:val="en-US"/>
        </w:rPr>
        <w:t>must take reasonable steps to advise the person, in general terms, of</w:t>
      </w:r>
      <w:r>
        <w:rPr>
          <w:rFonts w:ascii="Century Gothic" w:hAnsi="Century Gothic"/>
          <w:lang w:val="en-US"/>
        </w:rPr>
        <w:t>:</w:t>
      </w:r>
    </w:p>
    <w:p w14:paraId="23A2D67C" w14:textId="77777777" w:rsidR="00695907" w:rsidRPr="00A7133C" w:rsidRDefault="00695907" w:rsidP="00840568">
      <w:pPr>
        <w:pStyle w:val="BodyText"/>
        <w:spacing w:line="276" w:lineRule="auto"/>
        <w:ind w:left="1134" w:hanging="567"/>
        <w:jc w:val="both"/>
        <w:rPr>
          <w:rFonts w:ascii="Century Gothic" w:hAnsi="Century Gothic"/>
          <w:lang w:val="en-US"/>
        </w:rPr>
      </w:pPr>
      <w:r w:rsidRPr="00A7133C">
        <w:rPr>
          <w:rFonts w:ascii="Century Gothic" w:hAnsi="Century Gothic"/>
          <w:lang w:val="en-US"/>
        </w:rPr>
        <w:t xml:space="preserve">(a) </w:t>
      </w:r>
      <w:r>
        <w:rPr>
          <w:rFonts w:ascii="Century Gothic" w:hAnsi="Century Gothic"/>
          <w:lang w:val="en-US"/>
        </w:rPr>
        <w:tab/>
      </w:r>
      <w:r w:rsidRPr="00A7133C">
        <w:rPr>
          <w:rFonts w:ascii="Century Gothic" w:hAnsi="Century Gothic"/>
          <w:lang w:val="en-US"/>
        </w:rPr>
        <w:t>the sort of personal information it holds; and</w:t>
      </w:r>
    </w:p>
    <w:p w14:paraId="390B1882" w14:textId="77777777" w:rsidR="00695907" w:rsidRPr="00A7133C" w:rsidRDefault="00695907" w:rsidP="00840568">
      <w:pPr>
        <w:pStyle w:val="BodyText"/>
        <w:spacing w:line="276" w:lineRule="auto"/>
        <w:ind w:left="1134" w:hanging="567"/>
        <w:jc w:val="both"/>
        <w:rPr>
          <w:rFonts w:ascii="Century Gothic" w:hAnsi="Century Gothic"/>
          <w:lang w:val="en-US"/>
        </w:rPr>
      </w:pPr>
      <w:r w:rsidRPr="00A7133C">
        <w:rPr>
          <w:rFonts w:ascii="Century Gothic" w:hAnsi="Century Gothic"/>
          <w:lang w:val="en-US"/>
        </w:rPr>
        <w:t xml:space="preserve">(b) </w:t>
      </w:r>
      <w:r>
        <w:rPr>
          <w:rFonts w:ascii="Century Gothic" w:hAnsi="Century Gothic"/>
          <w:lang w:val="en-US"/>
        </w:rPr>
        <w:tab/>
      </w:r>
      <w:r w:rsidRPr="00A7133C">
        <w:rPr>
          <w:rFonts w:ascii="Century Gothic" w:hAnsi="Century Gothic"/>
          <w:lang w:val="en-US"/>
        </w:rPr>
        <w:t>the purposes for which it holds the information; and</w:t>
      </w:r>
    </w:p>
    <w:p w14:paraId="79B7F54F" w14:textId="77777777" w:rsidR="00695907" w:rsidRDefault="00695907" w:rsidP="00840568">
      <w:pPr>
        <w:pStyle w:val="BodyText"/>
        <w:spacing w:line="276" w:lineRule="auto"/>
        <w:ind w:left="1134" w:hanging="567"/>
        <w:jc w:val="both"/>
        <w:rPr>
          <w:rFonts w:ascii="Century Gothic" w:hAnsi="Century Gothic"/>
          <w:lang w:val="en-US"/>
        </w:rPr>
      </w:pPr>
      <w:r w:rsidRPr="00A7133C">
        <w:rPr>
          <w:rFonts w:ascii="Century Gothic" w:hAnsi="Century Gothic"/>
          <w:lang w:val="en-US"/>
        </w:rPr>
        <w:t xml:space="preserve">(c) </w:t>
      </w:r>
      <w:r>
        <w:rPr>
          <w:rFonts w:ascii="Century Gothic" w:hAnsi="Century Gothic"/>
          <w:lang w:val="en-US"/>
        </w:rPr>
        <w:tab/>
      </w:r>
      <w:r w:rsidRPr="00A7133C">
        <w:rPr>
          <w:rFonts w:ascii="Century Gothic" w:hAnsi="Century Gothic"/>
          <w:lang w:val="en-US"/>
        </w:rPr>
        <w:t>how it collects, holds, uses and discloses that information.</w:t>
      </w:r>
    </w:p>
    <w:p w14:paraId="7201EFA5" w14:textId="2D6B6A15" w:rsidR="00992AF6" w:rsidRPr="00840568" w:rsidRDefault="00695907" w:rsidP="00371346">
      <w:pPr>
        <w:pStyle w:val="BodyText"/>
        <w:spacing w:line="276" w:lineRule="auto"/>
        <w:jc w:val="both"/>
        <w:rPr>
          <w:rFonts w:ascii="Century Gothic" w:hAnsi="Century Gothic"/>
          <w:lang w:val="en-US"/>
        </w:rPr>
      </w:pPr>
      <w:r>
        <w:rPr>
          <w:rFonts w:ascii="Century Gothic" w:hAnsi="Century Gothic"/>
          <w:lang w:val="en-US"/>
        </w:rPr>
        <w:t>Refer to the Right to Information Policy and Procedure.</w:t>
      </w:r>
    </w:p>
    <w:p w14:paraId="5E2CCF08" w14:textId="0A8D83B2" w:rsidR="00BB775A" w:rsidRPr="00932668" w:rsidRDefault="00695907" w:rsidP="00695907">
      <w:pPr>
        <w:spacing w:before="240" w:after="120" w:line="276" w:lineRule="auto"/>
        <w:jc w:val="both"/>
        <w:rPr>
          <w:b/>
          <w:bCs/>
          <w:sz w:val="24"/>
          <w:szCs w:val="24"/>
        </w:rPr>
      </w:pPr>
      <w:r w:rsidRPr="00932668">
        <w:rPr>
          <w:b/>
          <w:bCs/>
          <w:sz w:val="24"/>
          <w:szCs w:val="24"/>
        </w:rPr>
        <w:lastRenderedPageBreak/>
        <w:t>Client information security</w:t>
      </w:r>
    </w:p>
    <w:p w14:paraId="5C3774D3" w14:textId="2CFB09F1" w:rsidR="00695907" w:rsidRDefault="00C54E9B" w:rsidP="00695907">
      <w:pPr>
        <w:pStyle w:val="BodyText"/>
        <w:spacing w:before="0" w:after="0" w:line="276" w:lineRule="auto"/>
        <w:jc w:val="both"/>
        <w:rPr>
          <w:rFonts w:ascii="Century Gothic" w:hAnsi="Century Gothic"/>
          <w:i/>
          <w:szCs w:val="22"/>
        </w:rPr>
      </w:pPr>
      <w:r w:rsidRPr="00695907">
        <w:rPr>
          <w:rFonts w:ascii="Century Gothic" w:hAnsi="Century Gothic"/>
        </w:rPr>
        <w:t xml:space="preserve">The Public Trustee’s </w:t>
      </w:r>
      <w:r w:rsidR="0097277F">
        <w:rPr>
          <w:rFonts w:ascii="Century Gothic" w:hAnsi="Century Gothic"/>
        </w:rPr>
        <w:t>Information</w:t>
      </w:r>
      <w:r w:rsidRPr="00695907">
        <w:rPr>
          <w:rFonts w:ascii="Century Gothic" w:hAnsi="Century Gothic"/>
        </w:rPr>
        <w:t xml:space="preserve"> Governance Framework includes </w:t>
      </w:r>
      <w:r w:rsidR="00652335" w:rsidRPr="00695907">
        <w:rPr>
          <w:rFonts w:ascii="Century Gothic" w:hAnsi="Century Gothic"/>
        </w:rPr>
        <w:t xml:space="preserve">accountability for data </w:t>
      </w:r>
      <w:r w:rsidR="009F00EC" w:rsidRPr="00695907">
        <w:rPr>
          <w:rFonts w:ascii="Century Gothic" w:hAnsi="Century Gothic"/>
        </w:rPr>
        <w:t xml:space="preserve">controls, </w:t>
      </w:r>
      <w:r w:rsidR="00652335" w:rsidRPr="00695907">
        <w:rPr>
          <w:rFonts w:ascii="Century Gothic" w:hAnsi="Century Gothic"/>
        </w:rPr>
        <w:t>security and considerations for potential breaches of sensitive information.</w:t>
      </w:r>
      <w:r w:rsidR="00BB775A">
        <w:t xml:space="preserve"> </w:t>
      </w:r>
      <w:r w:rsidR="00BB775A" w:rsidRPr="00BB775A">
        <w:rPr>
          <w:rFonts w:ascii="Century Gothic" w:hAnsi="Century Gothic"/>
          <w:szCs w:val="22"/>
        </w:rPr>
        <w:t>We have implemented technology and security policies, rules and measures to protect the personal information that we have under our control from unauthorised access, improper use, unsanctioned alteration, unlawful or accidental destruction and accidental loss.</w:t>
      </w:r>
      <w:r w:rsidR="00BB775A">
        <w:t xml:space="preserve"> </w:t>
      </w:r>
      <w:r w:rsidR="00695907" w:rsidRPr="00695907">
        <w:rPr>
          <w:rFonts w:ascii="Century Gothic" w:hAnsi="Century Gothic"/>
          <w:iCs/>
          <w:szCs w:val="22"/>
        </w:rPr>
        <w:t>Refer to the</w:t>
      </w:r>
      <w:r w:rsidR="00695907">
        <w:t xml:space="preserve"> </w:t>
      </w:r>
      <w:r w:rsidR="00695907">
        <w:rPr>
          <w:rFonts w:ascii="Century Gothic" w:hAnsi="Century Gothic"/>
          <w:iCs/>
          <w:szCs w:val="22"/>
        </w:rPr>
        <w:t xml:space="preserve">Department of Premier and Cabinet – </w:t>
      </w:r>
      <w:hyperlink r:id="rId15" w:history="1">
        <w:r w:rsidR="00695907" w:rsidRPr="00695907">
          <w:rPr>
            <w:rStyle w:val="Hyperlink"/>
            <w:rFonts w:ascii="Century Gothic" w:hAnsi="Century Gothic"/>
            <w:iCs/>
            <w:szCs w:val="22"/>
          </w:rPr>
          <w:t>Cyber Security Policy and Standards</w:t>
        </w:r>
      </w:hyperlink>
      <w:r w:rsidR="00695907">
        <w:rPr>
          <w:rFonts w:ascii="Century Gothic" w:hAnsi="Century Gothic"/>
          <w:iCs/>
          <w:szCs w:val="22"/>
        </w:rPr>
        <w:t xml:space="preserve"> for the prevention of unauthorised access to personal information.</w:t>
      </w:r>
    </w:p>
    <w:p w14:paraId="6D00480D" w14:textId="56899CCA" w:rsidR="00BB775A" w:rsidRDefault="00BB775A" w:rsidP="00BB775A">
      <w:pPr>
        <w:spacing w:line="276" w:lineRule="auto"/>
        <w:jc w:val="both"/>
      </w:pPr>
    </w:p>
    <w:p w14:paraId="74B7C1EC" w14:textId="6D80FE4D" w:rsidR="00BB775A" w:rsidRDefault="00BB775A" w:rsidP="00BB775A">
      <w:pPr>
        <w:spacing w:line="276" w:lineRule="auto"/>
        <w:jc w:val="both"/>
      </w:pPr>
      <w:r w:rsidRPr="00BB775A">
        <w:t>We will destroy personal information where it is no longer required</w:t>
      </w:r>
      <w:r>
        <w:t>, in accordance with the Office of the State Archives disposal schedule for the Public Trust</w:t>
      </w:r>
      <w:r w:rsidRPr="00BB775A">
        <w:t xml:space="preserve"> (except where required to be </w:t>
      </w:r>
      <w:r>
        <w:t>transferred or retained in</w:t>
      </w:r>
      <w:r w:rsidRPr="00BB775A">
        <w:t xml:space="preserve"> compliance with the </w:t>
      </w:r>
      <w:r w:rsidRPr="00BB775A">
        <w:rPr>
          <w:i/>
          <w:iCs/>
        </w:rPr>
        <w:t>Archives Act 1983</w:t>
      </w:r>
      <w:r w:rsidRPr="00BB775A">
        <w:t>). </w:t>
      </w:r>
      <w:r w:rsidR="00695907">
        <w:rPr>
          <w:rStyle w:val="FootnoteReference"/>
        </w:rPr>
        <w:footnoteReference w:id="3"/>
      </w:r>
    </w:p>
    <w:p w14:paraId="36F8692C" w14:textId="77777777" w:rsidR="00BB775A" w:rsidRDefault="00BB775A" w:rsidP="00BB775A">
      <w:pPr>
        <w:spacing w:line="276" w:lineRule="auto"/>
        <w:jc w:val="both"/>
      </w:pPr>
    </w:p>
    <w:p w14:paraId="374788B5" w14:textId="22C0FAEF" w:rsidR="00BB775A" w:rsidRDefault="00BB775A" w:rsidP="00BB775A">
      <w:pPr>
        <w:spacing w:line="276" w:lineRule="auto"/>
        <w:jc w:val="both"/>
      </w:pPr>
      <w:r>
        <w:t xml:space="preserve">Employees are to undertake </w:t>
      </w:r>
      <w:r w:rsidR="005C1578">
        <w:t xml:space="preserve">ongoing </w:t>
      </w:r>
      <w:r>
        <w:t>training and awareness programs</w:t>
      </w:r>
      <w:r w:rsidR="005C1578">
        <w:t xml:space="preserve"> in privacy, client confidentiality, and cyber security</w:t>
      </w:r>
      <w:r>
        <w:t xml:space="preserve"> to ensure they follow best practices in </w:t>
      </w:r>
      <w:r w:rsidR="005C1578">
        <w:t>client records</w:t>
      </w:r>
      <w:r>
        <w:t xml:space="preserve"> management and security.</w:t>
      </w:r>
    </w:p>
    <w:p w14:paraId="6AEECF40" w14:textId="77777777" w:rsidR="005C1578" w:rsidRDefault="005C1578" w:rsidP="00BB775A">
      <w:pPr>
        <w:spacing w:line="276" w:lineRule="auto"/>
        <w:jc w:val="both"/>
      </w:pPr>
    </w:p>
    <w:p w14:paraId="38D2A6EB" w14:textId="13857E77" w:rsidR="00076663" w:rsidRPr="00992AF6" w:rsidRDefault="005C1578" w:rsidP="00992AF6">
      <w:pPr>
        <w:spacing w:line="276" w:lineRule="auto"/>
        <w:jc w:val="both"/>
      </w:pPr>
      <w:r>
        <w:t>For more information</w:t>
      </w:r>
      <w:r w:rsidR="00695907">
        <w:t xml:space="preserve"> on the types of information we collect from clients under Financial Administration Order</w:t>
      </w:r>
      <w:r>
        <w:t xml:space="preserve">, refer to ‘Your Guide to Financial Administration’ </w:t>
      </w:r>
      <w:r w:rsidR="00371346">
        <w:t>c</w:t>
      </w:r>
      <w:r w:rsidR="00672DD9">
        <w:t>lient information handbook (Accessible</w:t>
      </w:r>
      <w:r w:rsidR="00695907">
        <w:t xml:space="preserve"> format</w:t>
      </w:r>
      <w:r w:rsidR="00672DD9">
        <w:t>)</w:t>
      </w:r>
      <w:r w:rsidR="00371346">
        <w:t>.</w:t>
      </w:r>
    </w:p>
    <w:p w14:paraId="3C982F5C" w14:textId="34804B39" w:rsidR="00672DD9" w:rsidRPr="00672DD9" w:rsidRDefault="00672DD9" w:rsidP="00672DD9">
      <w:pPr>
        <w:spacing w:before="240" w:after="120" w:line="276" w:lineRule="auto"/>
        <w:jc w:val="both"/>
        <w:rPr>
          <w:b/>
          <w:bCs/>
          <w:sz w:val="24"/>
          <w:szCs w:val="24"/>
        </w:rPr>
      </w:pPr>
      <w:r w:rsidRPr="00672DD9">
        <w:rPr>
          <w:b/>
          <w:bCs/>
          <w:sz w:val="24"/>
          <w:szCs w:val="24"/>
        </w:rPr>
        <w:t>Disclosure of personal information to third parties</w:t>
      </w:r>
    </w:p>
    <w:p w14:paraId="2B1959A1" w14:textId="77777777" w:rsidR="00672DD9" w:rsidRPr="00672DD9" w:rsidRDefault="00672DD9" w:rsidP="00672DD9">
      <w:pPr>
        <w:pStyle w:val="BodyText"/>
        <w:spacing w:line="276" w:lineRule="auto"/>
        <w:jc w:val="both"/>
        <w:rPr>
          <w:rFonts w:ascii="Century Gothic" w:hAnsi="Century Gothic"/>
          <w:lang w:val="en-US"/>
        </w:rPr>
      </w:pPr>
      <w:r w:rsidRPr="00672DD9">
        <w:rPr>
          <w:rFonts w:ascii="Century Gothic" w:hAnsi="Century Gothic"/>
          <w:lang w:val="en-US"/>
        </w:rPr>
        <w:t xml:space="preserve">We may disclose your personal information to third parties, including:  </w:t>
      </w:r>
    </w:p>
    <w:p w14:paraId="682F0779" w14:textId="77777777" w:rsidR="00672DD9" w:rsidRPr="00672DD9" w:rsidRDefault="00672DD9" w:rsidP="00672DD9">
      <w:pPr>
        <w:pStyle w:val="BodyText"/>
        <w:numPr>
          <w:ilvl w:val="0"/>
          <w:numId w:val="4"/>
        </w:numPr>
        <w:spacing w:line="276" w:lineRule="auto"/>
        <w:jc w:val="both"/>
        <w:rPr>
          <w:rFonts w:ascii="Century Gothic" w:hAnsi="Century Gothic"/>
          <w:lang w:val="en-US"/>
        </w:rPr>
      </w:pPr>
      <w:r w:rsidRPr="00672DD9">
        <w:rPr>
          <w:rFonts w:ascii="Century Gothic" w:hAnsi="Century Gothic"/>
          <w:lang w:val="en-US"/>
        </w:rPr>
        <w:t xml:space="preserve">suppliers and other third parties that we have commercial relationships with, including those who may collect personal information on our behalf. For example, providers that host our website servers and ICT infrastructure, manage our learning management systems, electronic document management, and human resources information systems, and service providers engaged to provide services from time to time, such as research, surveys, transcription and programs, directly related to our functions </w:t>
      </w:r>
    </w:p>
    <w:p w14:paraId="6F3E8E36" w14:textId="77777777" w:rsidR="00672DD9" w:rsidRPr="00672DD9" w:rsidRDefault="00672DD9" w:rsidP="00672DD9">
      <w:pPr>
        <w:pStyle w:val="BodyText"/>
        <w:numPr>
          <w:ilvl w:val="0"/>
          <w:numId w:val="4"/>
        </w:numPr>
        <w:spacing w:line="276" w:lineRule="auto"/>
        <w:jc w:val="both"/>
        <w:rPr>
          <w:rFonts w:ascii="Century Gothic" w:hAnsi="Century Gothic"/>
          <w:lang w:val="en-US"/>
        </w:rPr>
      </w:pPr>
      <w:r w:rsidRPr="00672DD9">
        <w:rPr>
          <w:rFonts w:ascii="Century Gothic" w:hAnsi="Century Gothic"/>
          <w:lang w:val="en-US"/>
        </w:rPr>
        <w:t xml:space="preserve">any organisations for any authorised purpose that directly relates to one of our functions </w:t>
      </w:r>
    </w:p>
    <w:p w14:paraId="6B385036" w14:textId="7EC254FB" w:rsidR="00672DD9" w:rsidRDefault="00672DD9" w:rsidP="00672DD9">
      <w:pPr>
        <w:pStyle w:val="BodyText"/>
        <w:numPr>
          <w:ilvl w:val="0"/>
          <w:numId w:val="4"/>
        </w:numPr>
        <w:spacing w:line="276" w:lineRule="auto"/>
        <w:jc w:val="both"/>
        <w:rPr>
          <w:rFonts w:ascii="Century Gothic" w:hAnsi="Century Gothic"/>
          <w:lang w:val="en-US"/>
        </w:rPr>
      </w:pPr>
      <w:r w:rsidRPr="00672DD9">
        <w:rPr>
          <w:rFonts w:ascii="Century Gothic" w:hAnsi="Century Gothic"/>
          <w:lang w:val="en-US"/>
        </w:rPr>
        <w:t xml:space="preserve">where required or permitted to do so by law, including in response to a request under the </w:t>
      </w:r>
      <w:r w:rsidR="00076663" w:rsidRPr="00076663">
        <w:rPr>
          <w:rFonts w:ascii="Century Gothic" w:hAnsi="Century Gothic"/>
          <w:i/>
          <w:iCs/>
          <w:lang w:val="en-US"/>
        </w:rPr>
        <w:t>Right to Information Act 200</w:t>
      </w:r>
      <w:r w:rsidR="00076663">
        <w:rPr>
          <w:rFonts w:ascii="Century Gothic" w:hAnsi="Century Gothic"/>
          <w:i/>
          <w:iCs/>
          <w:lang w:val="en-US"/>
        </w:rPr>
        <w:t>9,</w:t>
      </w:r>
      <w:r w:rsidRPr="00672DD9">
        <w:rPr>
          <w:rFonts w:ascii="Century Gothic" w:hAnsi="Century Gothic"/>
          <w:lang w:val="en-US"/>
        </w:rPr>
        <w:t xml:space="preserve"> where no exemption applies to the information.   </w:t>
      </w:r>
    </w:p>
    <w:p w14:paraId="5B3527A5" w14:textId="77777777" w:rsidR="00076663" w:rsidRDefault="00A54A38" w:rsidP="00A54A38">
      <w:pPr>
        <w:pStyle w:val="BodyText"/>
        <w:spacing w:line="276" w:lineRule="auto"/>
        <w:jc w:val="both"/>
        <w:rPr>
          <w:rFonts w:ascii="Century Gothic" w:hAnsi="Century Gothic"/>
          <w:lang w:val="en-US"/>
        </w:rPr>
      </w:pPr>
      <w:r>
        <w:rPr>
          <w:rFonts w:ascii="Century Gothic" w:hAnsi="Century Gothic"/>
          <w:lang w:val="en-US"/>
        </w:rPr>
        <w:t xml:space="preserve">Personal information regarding clients experiencing family or domestic violence will be treated as sensitive information that is not to be shared with third parties, unless written consent is obtained. Sensitive information will not be stored on the client’s file unless it is required for the purposes of accurate record keeping regarding their financial situation. </w:t>
      </w:r>
    </w:p>
    <w:p w14:paraId="6ED9F8F4" w14:textId="64C1004B" w:rsidR="00A54A38" w:rsidRDefault="00A54A38" w:rsidP="00A54A38">
      <w:pPr>
        <w:pStyle w:val="BodyText"/>
        <w:spacing w:line="276" w:lineRule="auto"/>
        <w:jc w:val="both"/>
        <w:rPr>
          <w:rFonts w:ascii="Century Gothic" w:hAnsi="Century Gothic"/>
          <w:lang w:val="en-US"/>
        </w:rPr>
      </w:pPr>
      <w:r>
        <w:rPr>
          <w:rFonts w:ascii="Century Gothic" w:hAnsi="Century Gothic"/>
          <w:lang w:val="en-US"/>
        </w:rPr>
        <w:lastRenderedPageBreak/>
        <w:t>For more information, refer to the Public Trustee’s Client Service Standards and Child and Youth Safety and Wellbeing Policy and Procedure.</w:t>
      </w:r>
    </w:p>
    <w:p w14:paraId="74F0BBC9" w14:textId="61163DE8" w:rsidR="00672DD9" w:rsidRPr="00672DD9" w:rsidRDefault="00672DD9" w:rsidP="00672DD9">
      <w:pPr>
        <w:spacing w:before="240" w:after="120" w:line="276" w:lineRule="auto"/>
        <w:jc w:val="both"/>
        <w:rPr>
          <w:b/>
          <w:bCs/>
          <w:sz w:val="24"/>
          <w:szCs w:val="24"/>
        </w:rPr>
      </w:pPr>
      <w:r>
        <w:rPr>
          <w:b/>
          <w:bCs/>
          <w:sz w:val="24"/>
          <w:szCs w:val="24"/>
        </w:rPr>
        <w:t>Complaints handling</w:t>
      </w:r>
    </w:p>
    <w:p w14:paraId="39B78F3D" w14:textId="76EF3C04" w:rsidR="00672DD9" w:rsidRDefault="00672DD9" w:rsidP="00C54E9B">
      <w:pPr>
        <w:spacing w:line="276" w:lineRule="auto"/>
        <w:jc w:val="both"/>
        <w:rPr>
          <w:rFonts w:cs="Calibri"/>
        </w:rPr>
      </w:pPr>
      <w:r>
        <w:rPr>
          <w:rFonts w:cs="Calibri"/>
        </w:rPr>
        <w:t xml:space="preserve">We collect personal information about complainants, respondents and third parties in the course of receiving and handling complaints made regarding the Public Trustees services by employees, including contractors. </w:t>
      </w:r>
      <w:r w:rsidRPr="00672DD9">
        <w:rPr>
          <w:rFonts w:cs="Calibri"/>
        </w:rPr>
        <w:t xml:space="preserve">Personal information about an individual may be collected by the </w:t>
      </w:r>
      <w:r>
        <w:rPr>
          <w:rFonts w:cs="Calibri"/>
        </w:rPr>
        <w:t xml:space="preserve">Public Trustee </w:t>
      </w:r>
      <w:r w:rsidRPr="00672DD9">
        <w:rPr>
          <w:rFonts w:cs="Calibri"/>
        </w:rPr>
        <w:t>from a complainant, respondent or third party and may be received in various ways, including through our online complaint form, responses to complaints, by email, by letter or by phone. This may include sensitive information.</w:t>
      </w:r>
    </w:p>
    <w:p w14:paraId="5CFA2328" w14:textId="77777777" w:rsidR="00672DD9" w:rsidRDefault="00672DD9" w:rsidP="00C54E9B">
      <w:pPr>
        <w:spacing w:line="276" w:lineRule="auto"/>
        <w:jc w:val="both"/>
        <w:rPr>
          <w:rFonts w:cs="Calibri"/>
        </w:rPr>
      </w:pPr>
    </w:p>
    <w:p w14:paraId="79288F2D" w14:textId="6114699F" w:rsidR="00A65A31" w:rsidRPr="00371346" w:rsidRDefault="00245629" w:rsidP="00371346">
      <w:pPr>
        <w:spacing w:line="276" w:lineRule="auto"/>
        <w:jc w:val="both"/>
        <w:rPr>
          <w:rFonts w:cs="Calibri"/>
        </w:rPr>
      </w:pPr>
      <w:r>
        <w:rPr>
          <w:rFonts w:cs="Calibri"/>
        </w:rPr>
        <w:t>When handling complaints regarding privacy concerns, w</w:t>
      </w:r>
      <w:r w:rsidRPr="00945A40">
        <w:rPr>
          <w:rFonts w:cs="Calibri"/>
        </w:rPr>
        <w:t xml:space="preserve">e will protect personally identifiable information and maintain the confidentiality and safety of staff and complainants, including identity protection, when needed and adhere to the </w:t>
      </w:r>
      <w:r w:rsidRPr="00AE0BE7">
        <w:rPr>
          <w:rFonts w:cs="Calibri"/>
          <w:i/>
          <w:iCs/>
        </w:rPr>
        <w:t>Personal Information Protection Act 2004</w:t>
      </w:r>
      <w:r>
        <w:rPr>
          <w:rFonts w:cs="Calibri"/>
        </w:rPr>
        <w:t>. Refer to the Complaints and Feedback Management Policy</w:t>
      </w:r>
      <w:r w:rsidR="002D3998">
        <w:rPr>
          <w:rFonts w:cs="Calibri"/>
        </w:rPr>
        <w:t xml:space="preserve"> and the </w:t>
      </w:r>
      <w:hyperlink r:id="rId16" w:history="1">
        <w:r w:rsidR="002D3998" w:rsidRPr="002D3998">
          <w:rPr>
            <w:rStyle w:val="Hyperlink"/>
            <w:rFonts w:cs="Calibri"/>
          </w:rPr>
          <w:t>website</w:t>
        </w:r>
      </w:hyperlink>
      <w:r w:rsidR="002D3998">
        <w:rPr>
          <w:rFonts w:cs="Calibri"/>
        </w:rPr>
        <w:t>.</w:t>
      </w:r>
    </w:p>
    <w:p w14:paraId="156CFC3B" w14:textId="43E311A4" w:rsidR="00A7133C" w:rsidRPr="00932668" w:rsidRDefault="00A7133C" w:rsidP="00840568">
      <w:pPr>
        <w:spacing w:before="240" w:after="120" w:line="276" w:lineRule="auto"/>
        <w:rPr>
          <w:b/>
          <w:bCs/>
          <w:sz w:val="24"/>
          <w:szCs w:val="24"/>
        </w:rPr>
      </w:pPr>
      <w:r w:rsidRPr="00932668">
        <w:rPr>
          <w:b/>
          <w:bCs/>
          <w:sz w:val="24"/>
          <w:szCs w:val="24"/>
        </w:rPr>
        <w:t xml:space="preserve">BREACH OF THIS POLICY </w:t>
      </w:r>
    </w:p>
    <w:p w14:paraId="1997BB09" w14:textId="0093FAF8" w:rsidR="00A7133C" w:rsidRDefault="00A7133C" w:rsidP="00C54E9B">
      <w:pPr>
        <w:spacing w:line="276" w:lineRule="auto"/>
        <w:jc w:val="both"/>
        <w:rPr>
          <w:color w:val="0E101A"/>
          <w:lang w:val="en-US"/>
        </w:rPr>
      </w:pPr>
      <w:r w:rsidRPr="00A7133C">
        <w:rPr>
          <w:color w:val="0E101A"/>
          <w:lang w:val="en-US"/>
        </w:rPr>
        <w:t>Failure to comply with this Policy may expose the Public Trustee to performance and legal risk.</w:t>
      </w:r>
      <w:r w:rsidR="00652335">
        <w:rPr>
          <w:color w:val="0E101A"/>
          <w:lang w:val="en-US"/>
        </w:rPr>
        <w:t xml:space="preserve"> </w:t>
      </w:r>
      <w:r w:rsidRPr="00A7133C">
        <w:rPr>
          <w:color w:val="0E101A"/>
          <w:lang w:val="en-US"/>
        </w:rPr>
        <w:t>An employee who does not comply with this Policy may breach the State Service Code of Conduct</w:t>
      </w:r>
      <w:r w:rsidR="00652335">
        <w:rPr>
          <w:color w:val="0E101A"/>
          <w:lang w:val="en-US"/>
        </w:rPr>
        <w:t xml:space="preserve"> and is subject to the Employment Directive no.5.</w:t>
      </w:r>
    </w:p>
    <w:p w14:paraId="18012F2C" w14:textId="77777777" w:rsidR="002D3998" w:rsidRPr="00A7133C" w:rsidRDefault="002D3998" w:rsidP="00C54E9B">
      <w:pPr>
        <w:spacing w:line="276" w:lineRule="auto"/>
        <w:jc w:val="both"/>
        <w:rPr>
          <w:color w:val="0E101A"/>
          <w:lang w:val="en-US"/>
        </w:rPr>
      </w:pPr>
    </w:p>
    <w:p w14:paraId="24F79382" w14:textId="29BEF35A" w:rsidR="00A7133C" w:rsidRDefault="00A7133C" w:rsidP="00C54E9B">
      <w:pPr>
        <w:spacing w:line="276" w:lineRule="auto"/>
        <w:jc w:val="both"/>
        <w:rPr>
          <w:color w:val="0E101A"/>
          <w:lang w:val="en-US"/>
        </w:rPr>
      </w:pPr>
      <w:r w:rsidRPr="00A7133C">
        <w:rPr>
          <w:color w:val="0E101A"/>
          <w:lang w:val="en-US"/>
        </w:rPr>
        <w:t>A member of the Public Trustee that does not comply with the Personal Information Protection Principles will be in contravention of section 17</w:t>
      </w:r>
      <w:r w:rsidR="00652335">
        <w:rPr>
          <w:color w:val="0E101A"/>
          <w:lang w:val="en-US"/>
        </w:rPr>
        <w:t xml:space="preserve"> of</w:t>
      </w:r>
      <w:r w:rsidRPr="00A7133C">
        <w:rPr>
          <w:color w:val="0E101A"/>
          <w:lang w:val="en-US"/>
        </w:rPr>
        <w:t xml:space="preserve"> the Act and may be the subject </w:t>
      </w:r>
      <w:r w:rsidR="00652335">
        <w:rPr>
          <w:color w:val="0E101A"/>
          <w:lang w:val="en-US"/>
        </w:rPr>
        <w:t>to</w:t>
      </w:r>
      <w:r w:rsidRPr="00A7133C">
        <w:rPr>
          <w:color w:val="0E101A"/>
          <w:lang w:val="en-US"/>
        </w:rPr>
        <w:t xml:space="preserve"> investigation.</w:t>
      </w:r>
    </w:p>
    <w:p w14:paraId="7A604D6E" w14:textId="77777777" w:rsidR="00932668" w:rsidRDefault="00932668" w:rsidP="00C54E9B">
      <w:pPr>
        <w:spacing w:line="276" w:lineRule="auto"/>
        <w:jc w:val="both"/>
        <w:rPr>
          <w:color w:val="0E101A"/>
        </w:rPr>
      </w:pPr>
    </w:p>
    <w:p w14:paraId="3DAA2863" w14:textId="1151DA5D" w:rsidR="00695907" w:rsidRPr="00A54A38" w:rsidRDefault="005C1578" w:rsidP="00A54A38">
      <w:pPr>
        <w:spacing w:line="276" w:lineRule="auto"/>
        <w:jc w:val="both"/>
        <w:rPr>
          <w:color w:val="0E101A"/>
          <w:lang w:val="en-US"/>
        </w:rPr>
      </w:pPr>
      <w:r w:rsidRPr="005C1578">
        <w:rPr>
          <w:color w:val="0E101A"/>
        </w:rPr>
        <w:t xml:space="preserve">A breach of an </w:t>
      </w:r>
      <w:hyperlink r:id="rId17" w:history="1">
        <w:r w:rsidRPr="005C1578">
          <w:rPr>
            <w:rStyle w:val="Hyperlink"/>
          </w:rPr>
          <w:t>Australian Privacy Principle</w:t>
        </w:r>
        <w:r w:rsidRPr="00E83E32">
          <w:rPr>
            <w:rStyle w:val="Hyperlink"/>
            <w:u w:val="none"/>
          </w:rPr>
          <w:t> </w:t>
        </w:r>
      </w:hyperlink>
      <w:r w:rsidRPr="005C1578">
        <w:rPr>
          <w:color w:val="0E101A"/>
        </w:rPr>
        <w:t>is an ‘interference with the privacy of an individual’ and can lead to regulatory action and penalties.</w:t>
      </w:r>
      <w:r>
        <w:rPr>
          <w:rStyle w:val="FootnoteReference"/>
          <w:color w:val="0E101A"/>
        </w:rPr>
        <w:footnoteReference w:id="4"/>
      </w:r>
      <w:r w:rsidR="00672DD9">
        <w:rPr>
          <w:color w:val="0E101A"/>
        </w:rPr>
        <w:t xml:space="preserve"> Refer to Annex A – Privacy Fact Sheet.</w:t>
      </w:r>
    </w:p>
    <w:p w14:paraId="10ADCAA5" w14:textId="7EBD426C" w:rsidR="00FE3DAB" w:rsidRPr="00932668" w:rsidRDefault="00FE3DAB" w:rsidP="00932668">
      <w:pPr>
        <w:spacing w:before="240" w:after="120" w:line="276" w:lineRule="auto"/>
        <w:jc w:val="both"/>
        <w:rPr>
          <w:b/>
          <w:bCs/>
          <w:sz w:val="24"/>
          <w:szCs w:val="24"/>
        </w:rPr>
      </w:pPr>
      <w:r w:rsidRPr="008F5EB1">
        <w:rPr>
          <w:b/>
          <w:bCs/>
          <w:sz w:val="24"/>
          <w:szCs w:val="24"/>
        </w:rPr>
        <w:t>REFERENCES</w:t>
      </w:r>
      <w:bookmarkEnd w:id="1"/>
    </w:p>
    <w:p w14:paraId="5766B263" w14:textId="5DEFC166" w:rsidR="00A7133C" w:rsidRPr="00347967" w:rsidRDefault="00347967" w:rsidP="00672DD9">
      <w:pPr>
        <w:pStyle w:val="BodyText"/>
        <w:spacing w:before="0" w:after="0" w:line="276" w:lineRule="auto"/>
        <w:jc w:val="both"/>
        <w:rPr>
          <w:rStyle w:val="Hyperlink"/>
          <w:rFonts w:ascii="Century Gothic" w:hAnsi="Century Gothic"/>
          <w:i/>
          <w:szCs w:val="22"/>
        </w:rPr>
      </w:pPr>
      <w:r>
        <w:rPr>
          <w:rFonts w:ascii="Century Gothic" w:hAnsi="Century Gothic"/>
          <w:i/>
          <w:szCs w:val="22"/>
        </w:rPr>
        <w:t>Personal Information Protection Act</w:t>
      </w:r>
      <w:r w:rsidR="00A7133C" w:rsidRPr="00950434">
        <w:rPr>
          <w:rFonts w:ascii="Century Gothic" w:hAnsi="Century Gothic"/>
          <w:i/>
          <w:szCs w:val="22"/>
        </w:rPr>
        <w:t xml:space="preserve"> 2004</w:t>
      </w:r>
      <w:r>
        <w:rPr>
          <w:rFonts w:ascii="Century Gothic" w:hAnsi="Century Gothic"/>
          <w:i/>
          <w:szCs w:val="22"/>
        </w:rPr>
        <w:t xml:space="preserve"> – </w:t>
      </w:r>
      <w:r>
        <w:rPr>
          <w:rFonts w:ascii="Century Gothic" w:hAnsi="Century Gothic"/>
          <w:i/>
          <w:szCs w:val="22"/>
        </w:rPr>
        <w:fldChar w:fldCharType="begin"/>
      </w:r>
      <w:r>
        <w:rPr>
          <w:rFonts w:ascii="Century Gothic" w:hAnsi="Century Gothic"/>
          <w:i/>
          <w:szCs w:val="22"/>
        </w:rPr>
        <w:instrText>HYPERLINK "https://www.legislation.tas.gov.au/view/whole/html/inforce/current/act-2004-046" \l "JS1@EN"</w:instrText>
      </w:r>
      <w:r>
        <w:rPr>
          <w:rFonts w:ascii="Century Gothic" w:hAnsi="Century Gothic"/>
          <w:i/>
          <w:szCs w:val="22"/>
        </w:rPr>
      </w:r>
      <w:r>
        <w:rPr>
          <w:rFonts w:ascii="Century Gothic" w:hAnsi="Century Gothic"/>
          <w:i/>
          <w:szCs w:val="22"/>
        </w:rPr>
        <w:fldChar w:fldCharType="separate"/>
      </w:r>
      <w:r w:rsidRPr="00347967">
        <w:rPr>
          <w:rStyle w:val="Hyperlink"/>
          <w:rFonts w:ascii="Century Gothic" w:hAnsi="Century Gothic"/>
          <w:i/>
          <w:szCs w:val="22"/>
        </w:rPr>
        <w:t>Schedule 1 Personal Information Protection Principles</w:t>
      </w:r>
    </w:p>
    <w:p w14:paraId="19D65C21" w14:textId="749804BA" w:rsidR="00A7133C" w:rsidRPr="00950434" w:rsidRDefault="00347967" w:rsidP="00672DD9">
      <w:pPr>
        <w:pStyle w:val="BodyText"/>
        <w:spacing w:before="0" w:after="0" w:line="276" w:lineRule="auto"/>
        <w:jc w:val="both"/>
        <w:rPr>
          <w:rFonts w:ascii="Century Gothic" w:hAnsi="Century Gothic"/>
          <w:i/>
          <w:szCs w:val="22"/>
        </w:rPr>
      </w:pPr>
      <w:r>
        <w:rPr>
          <w:rFonts w:ascii="Century Gothic" w:hAnsi="Century Gothic"/>
          <w:i/>
          <w:szCs w:val="22"/>
        </w:rPr>
        <w:fldChar w:fldCharType="end"/>
      </w:r>
      <w:r>
        <w:rPr>
          <w:rFonts w:ascii="Century Gothic" w:hAnsi="Century Gothic"/>
          <w:i/>
          <w:szCs w:val="22"/>
        </w:rPr>
        <w:t>Public Trustee Act</w:t>
      </w:r>
      <w:r w:rsidR="00A7133C" w:rsidRPr="00950434">
        <w:rPr>
          <w:rFonts w:ascii="Century Gothic" w:hAnsi="Century Gothic"/>
          <w:i/>
          <w:szCs w:val="22"/>
        </w:rPr>
        <w:t xml:space="preserve"> 1930</w:t>
      </w:r>
      <w:r>
        <w:rPr>
          <w:rFonts w:ascii="Century Gothic" w:hAnsi="Century Gothic"/>
          <w:i/>
          <w:szCs w:val="22"/>
        </w:rPr>
        <w:t xml:space="preserve"> – </w:t>
      </w:r>
      <w:hyperlink r:id="rId18" w:anchor="GS8@EN" w:history="1">
        <w:r w:rsidRPr="00347967">
          <w:rPr>
            <w:rStyle w:val="Hyperlink"/>
            <w:rFonts w:ascii="Century Gothic" w:hAnsi="Century Gothic"/>
            <w:i/>
            <w:szCs w:val="22"/>
          </w:rPr>
          <w:t>Section 8 Confidentiality</w:t>
        </w:r>
      </w:hyperlink>
    </w:p>
    <w:p w14:paraId="4F992180" w14:textId="6287EF53" w:rsidR="00A7133C" w:rsidRPr="00950434" w:rsidRDefault="00652335" w:rsidP="00672DD9">
      <w:pPr>
        <w:pStyle w:val="BodyText"/>
        <w:spacing w:before="0" w:after="0" w:line="276" w:lineRule="auto"/>
        <w:jc w:val="both"/>
        <w:rPr>
          <w:rFonts w:ascii="Century Gothic" w:hAnsi="Century Gothic"/>
          <w:i/>
          <w:szCs w:val="22"/>
        </w:rPr>
      </w:pPr>
      <w:r>
        <w:rPr>
          <w:rFonts w:ascii="Century Gothic" w:hAnsi="Century Gothic"/>
          <w:i/>
          <w:szCs w:val="22"/>
        </w:rPr>
        <w:t>State Service Act</w:t>
      </w:r>
      <w:r w:rsidR="00A7133C">
        <w:rPr>
          <w:rFonts w:ascii="Century Gothic" w:hAnsi="Century Gothic"/>
          <w:i/>
          <w:szCs w:val="22"/>
        </w:rPr>
        <w:t xml:space="preserve"> 2000</w:t>
      </w:r>
    </w:p>
    <w:p w14:paraId="40A6F83A" w14:textId="2ACC6012" w:rsidR="00A7133C" w:rsidRDefault="00652335" w:rsidP="00672DD9">
      <w:pPr>
        <w:pStyle w:val="BodyText"/>
        <w:spacing w:before="0" w:after="0" w:line="276" w:lineRule="auto"/>
        <w:jc w:val="both"/>
        <w:rPr>
          <w:rFonts w:ascii="Century Gothic" w:hAnsi="Century Gothic"/>
          <w:i/>
          <w:szCs w:val="22"/>
        </w:rPr>
      </w:pPr>
      <w:r>
        <w:rPr>
          <w:rFonts w:ascii="Century Gothic" w:hAnsi="Century Gothic"/>
          <w:i/>
          <w:szCs w:val="22"/>
        </w:rPr>
        <w:t>Privacy Act</w:t>
      </w:r>
      <w:r w:rsidR="00A7133C" w:rsidRPr="00950434">
        <w:rPr>
          <w:rFonts w:ascii="Century Gothic" w:hAnsi="Century Gothic"/>
          <w:i/>
          <w:szCs w:val="22"/>
        </w:rPr>
        <w:t xml:space="preserve"> 1988 (Commonwealth)</w:t>
      </w:r>
    </w:p>
    <w:p w14:paraId="4B5F1C09" w14:textId="63094DFE" w:rsidR="00652335" w:rsidRDefault="00652335" w:rsidP="00672DD9">
      <w:pPr>
        <w:pStyle w:val="BodyText"/>
        <w:spacing w:before="0" w:after="0" w:line="276" w:lineRule="auto"/>
        <w:jc w:val="both"/>
        <w:rPr>
          <w:rFonts w:ascii="Century Gothic" w:hAnsi="Century Gothic"/>
          <w:i/>
          <w:szCs w:val="22"/>
        </w:rPr>
      </w:pPr>
      <w:r>
        <w:rPr>
          <w:rFonts w:ascii="Century Gothic" w:hAnsi="Century Gothic"/>
          <w:i/>
          <w:szCs w:val="22"/>
        </w:rPr>
        <w:t xml:space="preserve">Tasmanian Government – </w:t>
      </w:r>
      <w:hyperlink r:id="rId19" w:history="1">
        <w:r w:rsidRPr="00652335">
          <w:rPr>
            <w:rStyle w:val="Hyperlink"/>
            <w:rFonts w:ascii="Century Gothic" w:hAnsi="Century Gothic"/>
            <w:i/>
            <w:szCs w:val="22"/>
          </w:rPr>
          <w:t>Personal Information Protection</w:t>
        </w:r>
      </w:hyperlink>
    </w:p>
    <w:p w14:paraId="0E8EB16C" w14:textId="7083FB10" w:rsidR="00BD5C53" w:rsidRDefault="005C1578" w:rsidP="00672DD9">
      <w:pPr>
        <w:pStyle w:val="BodyText"/>
        <w:spacing w:before="0" w:after="0" w:line="276" w:lineRule="auto"/>
        <w:jc w:val="both"/>
        <w:rPr>
          <w:rFonts w:ascii="Century Gothic" w:hAnsi="Century Gothic"/>
          <w:iCs/>
          <w:szCs w:val="22"/>
        </w:rPr>
      </w:pPr>
      <w:hyperlink r:id="rId20" w:history="1">
        <w:r w:rsidRPr="005C1578">
          <w:rPr>
            <w:rStyle w:val="Hyperlink"/>
            <w:rFonts w:ascii="Century Gothic" w:hAnsi="Century Gothic"/>
            <w:i/>
            <w:szCs w:val="22"/>
          </w:rPr>
          <w:t>Australian Privacy Principles</w:t>
        </w:r>
      </w:hyperlink>
      <w:r>
        <w:rPr>
          <w:rFonts w:ascii="Century Gothic" w:hAnsi="Century Gothic"/>
          <w:i/>
          <w:szCs w:val="22"/>
        </w:rPr>
        <w:t xml:space="preserve"> – </w:t>
      </w:r>
      <w:r w:rsidRPr="00932668">
        <w:rPr>
          <w:rFonts w:ascii="Century Gothic" w:hAnsi="Century Gothic"/>
          <w:iCs/>
          <w:szCs w:val="22"/>
        </w:rPr>
        <w:t>Quick Reference, Office of the Australian Information Commissioner</w:t>
      </w:r>
    </w:p>
    <w:p w14:paraId="4620078B" w14:textId="7D471B6B" w:rsidR="00695907" w:rsidRDefault="00695907" w:rsidP="00672DD9">
      <w:pPr>
        <w:pStyle w:val="BodyText"/>
        <w:spacing w:before="0" w:after="0" w:line="276" w:lineRule="auto"/>
        <w:jc w:val="both"/>
        <w:rPr>
          <w:rFonts w:ascii="Century Gothic" w:hAnsi="Century Gothic"/>
          <w:i/>
          <w:szCs w:val="22"/>
        </w:rPr>
      </w:pPr>
      <w:r>
        <w:rPr>
          <w:rFonts w:ascii="Century Gothic" w:hAnsi="Century Gothic"/>
          <w:iCs/>
          <w:szCs w:val="22"/>
        </w:rPr>
        <w:t xml:space="preserve">Department of Premier and Cabinet – </w:t>
      </w:r>
      <w:hyperlink r:id="rId21" w:history="1">
        <w:r w:rsidRPr="00695907">
          <w:rPr>
            <w:rStyle w:val="Hyperlink"/>
            <w:rFonts w:ascii="Century Gothic" w:hAnsi="Century Gothic"/>
            <w:iCs/>
            <w:szCs w:val="22"/>
          </w:rPr>
          <w:t>Cyber Security Policy and Standards</w:t>
        </w:r>
      </w:hyperlink>
      <w:r>
        <w:rPr>
          <w:rFonts w:ascii="Century Gothic" w:hAnsi="Century Gothic"/>
          <w:iCs/>
          <w:szCs w:val="22"/>
        </w:rPr>
        <w:t>.</w:t>
      </w:r>
    </w:p>
    <w:p w14:paraId="2049BE4A" w14:textId="77777777" w:rsidR="00A65A31" w:rsidRDefault="00A65A31">
      <w:pPr>
        <w:rPr>
          <w:b/>
          <w:bCs/>
          <w:sz w:val="24"/>
          <w:szCs w:val="24"/>
          <w:lang w:val="en-US"/>
        </w:rPr>
      </w:pPr>
      <w:r>
        <w:rPr>
          <w:b/>
          <w:bCs/>
          <w:sz w:val="24"/>
          <w:szCs w:val="24"/>
          <w:lang w:val="en-US"/>
        </w:rPr>
        <w:br w:type="page"/>
      </w:r>
    </w:p>
    <w:p w14:paraId="71FEEFA6" w14:textId="24099FF2" w:rsidR="00BD5C53" w:rsidRPr="00695907" w:rsidRDefault="00BD5C53">
      <w:pPr>
        <w:rPr>
          <w:b/>
          <w:bCs/>
          <w:sz w:val="24"/>
          <w:szCs w:val="24"/>
          <w:lang w:val="en-US"/>
        </w:rPr>
      </w:pPr>
      <w:r w:rsidRPr="00695907">
        <w:rPr>
          <w:b/>
          <w:bCs/>
          <w:sz w:val="24"/>
          <w:szCs w:val="24"/>
          <w:lang w:val="en-US"/>
        </w:rPr>
        <w:lastRenderedPageBreak/>
        <w:t>ANNEX A – PRIVACY FACT SHEET</w:t>
      </w:r>
    </w:p>
    <w:p w14:paraId="5D1AC401" w14:textId="77777777" w:rsidR="00BD5C53" w:rsidRDefault="00BD5C53">
      <w:pPr>
        <w:rPr>
          <w:b/>
          <w:bCs/>
          <w:lang w:val="en-US"/>
        </w:rPr>
      </w:pPr>
    </w:p>
    <w:p w14:paraId="66DE51A6" w14:textId="77777777" w:rsidR="00BD5C53" w:rsidRPr="00695907" w:rsidRDefault="00BD5C53" w:rsidP="00BD5C53">
      <w:pPr>
        <w:rPr>
          <w:b/>
          <w:bCs/>
        </w:rPr>
      </w:pPr>
      <w:r w:rsidRPr="00695907">
        <w:rPr>
          <w:b/>
          <w:bCs/>
        </w:rPr>
        <w:t>What are the Australian Privacy Principles (APPs)?</w:t>
      </w:r>
    </w:p>
    <w:p w14:paraId="79EF2DBC" w14:textId="77777777" w:rsidR="00BD5C53" w:rsidRPr="00695907" w:rsidRDefault="00BD5C53" w:rsidP="00BD5C53">
      <w:pPr>
        <w:rPr>
          <w:b/>
          <w:bCs/>
        </w:rPr>
      </w:pPr>
    </w:p>
    <w:p w14:paraId="67BA7CBB" w14:textId="77777777" w:rsidR="00BD5C53" w:rsidRPr="00695907" w:rsidRDefault="00BD5C53" w:rsidP="00BD5C53">
      <w:pPr>
        <w:pStyle w:val="ListParagraph"/>
        <w:numPr>
          <w:ilvl w:val="0"/>
          <w:numId w:val="2"/>
        </w:numPr>
        <w:spacing w:line="276" w:lineRule="auto"/>
        <w:jc w:val="both"/>
      </w:pPr>
      <w:r w:rsidRPr="00695907">
        <w:t>Open and transparent management of personal information.</w:t>
      </w:r>
    </w:p>
    <w:p w14:paraId="78500073" w14:textId="77777777" w:rsidR="00BD5C53" w:rsidRPr="00695907" w:rsidRDefault="00BD5C53" w:rsidP="00BD5C53">
      <w:pPr>
        <w:pStyle w:val="ListParagraph"/>
        <w:numPr>
          <w:ilvl w:val="0"/>
          <w:numId w:val="2"/>
        </w:numPr>
        <w:spacing w:line="276" w:lineRule="auto"/>
        <w:jc w:val="both"/>
      </w:pPr>
      <w:r w:rsidRPr="00695907">
        <w:t>Anonymity and pseudonymity.</w:t>
      </w:r>
    </w:p>
    <w:p w14:paraId="302E38E9" w14:textId="77777777" w:rsidR="00BD5C53" w:rsidRPr="00695907" w:rsidRDefault="00BD5C53" w:rsidP="00BD5C53">
      <w:pPr>
        <w:pStyle w:val="ListParagraph"/>
        <w:numPr>
          <w:ilvl w:val="0"/>
          <w:numId w:val="2"/>
        </w:numPr>
        <w:spacing w:line="276" w:lineRule="auto"/>
        <w:jc w:val="both"/>
      </w:pPr>
      <w:r w:rsidRPr="00695907">
        <w:t>Collection of solicited personal information.</w:t>
      </w:r>
    </w:p>
    <w:p w14:paraId="784A034E" w14:textId="77777777" w:rsidR="00BD5C53" w:rsidRPr="00695907" w:rsidRDefault="00BD5C53" w:rsidP="00BD5C53">
      <w:pPr>
        <w:pStyle w:val="ListParagraph"/>
        <w:numPr>
          <w:ilvl w:val="0"/>
          <w:numId w:val="2"/>
        </w:numPr>
        <w:spacing w:line="276" w:lineRule="auto"/>
        <w:jc w:val="both"/>
      </w:pPr>
      <w:r w:rsidRPr="00695907">
        <w:t>Dealing with unsolicited personal information.</w:t>
      </w:r>
    </w:p>
    <w:p w14:paraId="4A6DBE2C" w14:textId="77777777" w:rsidR="00BD5C53" w:rsidRPr="00695907" w:rsidRDefault="00BD5C53" w:rsidP="00BD5C53">
      <w:pPr>
        <w:pStyle w:val="ListParagraph"/>
        <w:numPr>
          <w:ilvl w:val="0"/>
          <w:numId w:val="2"/>
        </w:numPr>
        <w:spacing w:line="276" w:lineRule="auto"/>
        <w:jc w:val="both"/>
      </w:pPr>
      <w:r w:rsidRPr="00695907">
        <w:t>Notification of the collection of personal information.</w:t>
      </w:r>
    </w:p>
    <w:p w14:paraId="6F257B1E" w14:textId="77777777" w:rsidR="00BD5C53" w:rsidRPr="00695907" w:rsidRDefault="00BD5C53" w:rsidP="00BD5C53">
      <w:pPr>
        <w:pStyle w:val="ListParagraph"/>
        <w:numPr>
          <w:ilvl w:val="0"/>
          <w:numId w:val="2"/>
        </w:numPr>
        <w:spacing w:line="276" w:lineRule="auto"/>
        <w:jc w:val="both"/>
      </w:pPr>
      <w:r w:rsidRPr="00695907">
        <w:t>Use or disclosure of personal information.</w:t>
      </w:r>
    </w:p>
    <w:p w14:paraId="0BF125A3" w14:textId="77777777" w:rsidR="00BD5C53" w:rsidRPr="00695907" w:rsidRDefault="00BD5C53" w:rsidP="00BD5C53">
      <w:pPr>
        <w:pStyle w:val="ListParagraph"/>
        <w:numPr>
          <w:ilvl w:val="0"/>
          <w:numId w:val="2"/>
        </w:numPr>
        <w:spacing w:line="276" w:lineRule="auto"/>
        <w:jc w:val="both"/>
      </w:pPr>
      <w:r w:rsidRPr="00695907">
        <w:t>Direct marketing.</w:t>
      </w:r>
    </w:p>
    <w:p w14:paraId="3D3D9BE2" w14:textId="77777777" w:rsidR="00BD5C53" w:rsidRPr="00695907" w:rsidRDefault="00BD5C53" w:rsidP="00BD5C53">
      <w:pPr>
        <w:pStyle w:val="ListParagraph"/>
        <w:numPr>
          <w:ilvl w:val="0"/>
          <w:numId w:val="2"/>
        </w:numPr>
        <w:spacing w:line="276" w:lineRule="auto"/>
        <w:jc w:val="both"/>
      </w:pPr>
      <w:r w:rsidRPr="00695907">
        <w:t>Cross-border disclosure of personal information.</w:t>
      </w:r>
    </w:p>
    <w:p w14:paraId="7F91F361" w14:textId="77777777" w:rsidR="00BD5C53" w:rsidRPr="00695907" w:rsidRDefault="00BD5C53" w:rsidP="00BD5C53">
      <w:pPr>
        <w:pStyle w:val="ListParagraph"/>
        <w:numPr>
          <w:ilvl w:val="0"/>
          <w:numId w:val="2"/>
        </w:numPr>
        <w:spacing w:line="276" w:lineRule="auto"/>
        <w:jc w:val="both"/>
      </w:pPr>
      <w:r w:rsidRPr="00695907">
        <w:t>Adoption, use or disclosure of government related identifiers.</w:t>
      </w:r>
    </w:p>
    <w:p w14:paraId="1D32DEFB" w14:textId="77777777" w:rsidR="00BD5C53" w:rsidRPr="00695907" w:rsidRDefault="00BD5C53" w:rsidP="00BD5C53">
      <w:pPr>
        <w:pStyle w:val="ListParagraph"/>
        <w:numPr>
          <w:ilvl w:val="0"/>
          <w:numId w:val="2"/>
        </w:numPr>
        <w:spacing w:line="276" w:lineRule="auto"/>
        <w:jc w:val="both"/>
      </w:pPr>
      <w:r w:rsidRPr="00695907">
        <w:t>Quality of personal information.</w:t>
      </w:r>
    </w:p>
    <w:p w14:paraId="43A0F7B5" w14:textId="77777777" w:rsidR="00BD5C53" w:rsidRPr="00695907" w:rsidRDefault="00BD5C53" w:rsidP="00BD5C53">
      <w:pPr>
        <w:pStyle w:val="ListParagraph"/>
        <w:numPr>
          <w:ilvl w:val="0"/>
          <w:numId w:val="2"/>
        </w:numPr>
        <w:spacing w:line="276" w:lineRule="auto"/>
        <w:jc w:val="both"/>
      </w:pPr>
      <w:r w:rsidRPr="00695907">
        <w:t>Security of personal information.</w:t>
      </w:r>
    </w:p>
    <w:p w14:paraId="114BC142" w14:textId="77777777" w:rsidR="00BD5C53" w:rsidRPr="00695907" w:rsidRDefault="00BD5C53" w:rsidP="00BD5C53">
      <w:pPr>
        <w:pStyle w:val="ListParagraph"/>
        <w:numPr>
          <w:ilvl w:val="0"/>
          <w:numId w:val="2"/>
        </w:numPr>
        <w:spacing w:line="276" w:lineRule="auto"/>
        <w:jc w:val="both"/>
      </w:pPr>
      <w:r w:rsidRPr="00695907">
        <w:t>Access to personal information.</w:t>
      </w:r>
    </w:p>
    <w:p w14:paraId="2241C709" w14:textId="77777777" w:rsidR="00BD5C53" w:rsidRPr="00695907" w:rsidRDefault="00BD5C53" w:rsidP="00BD5C53">
      <w:pPr>
        <w:pStyle w:val="ListParagraph"/>
        <w:numPr>
          <w:ilvl w:val="0"/>
          <w:numId w:val="2"/>
        </w:numPr>
        <w:spacing w:line="276" w:lineRule="auto"/>
        <w:jc w:val="both"/>
        <w:rPr>
          <w:b/>
          <w:bCs/>
        </w:rPr>
      </w:pPr>
      <w:r w:rsidRPr="00695907">
        <w:t>Correction of personal information.</w:t>
      </w:r>
    </w:p>
    <w:p w14:paraId="507D77BD" w14:textId="77777777" w:rsidR="00BD5C53" w:rsidRPr="00695907" w:rsidRDefault="00BD5C53" w:rsidP="00BD5C53">
      <w:pPr>
        <w:spacing w:line="276" w:lineRule="auto"/>
        <w:jc w:val="both"/>
        <w:rPr>
          <w:b/>
          <w:bCs/>
        </w:rPr>
      </w:pPr>
    </w:p>
    <w:p w14:paraId="33FA1427" w14:textId="2559C555" w:rsidR="00BD5C53" w:rsidRPr="00695907" w:rsidRDefault="00BD5C53" w:rsidP="00BD5C53">
      <w:pPr>
        <w:spacing w:line="276" w:lineRule="auto"/>
        <w:jc w:val="both"/>
        <w:rPr>
          <w:b/>
          <w:bCs/>
        </w:rPr>
      </w:pPr>
      <w:r w:rsidRPr="00695907">
        <w:rPr>
          <w:b/>
          <w:bCs/>
        </w:rPr>
        <w:t>What steps can I take to protect my clients’ personal information?</w:t>
      </w:r>
    </w:p>
    <w:p w14:paraId="5605534E" w14:textId="77777777" w:rsidR="00672DD9" w:rsidRPr="00695907" w:rsidRDefault="00672DD9" w:rsidP="00BD5C53">
      <w:pPr>
        <w:spacing w:line="276" w:lineRule="auto"/>
        <w:jc w:val="both"/>
        <w:rPr>
          <w:b/>
          <w:bCs/>
        </w:rPr>
      </w:pPr>
    </w:p>
    <w:p w14:paraId="1BE3F0EA" w14:textId="77777777" w:rsidR="00BD5C53" w:rsidRPr="00695907" w:rsidRDefault="00BD5C53" w:rsidP="00BD5C53">
      <w:pPr>
        <w:pStyle w:val="ListParagraph"/>
        <w:numPr>
          <w:ilvl w:val="0"/>
          <w:numId w:val="2"/>
        </w:numPr>
        <w:spacing w:line="276" w:lineRule="auto"/>
        <w:jc w:val="both"/>
      </w:pPr>
      <w:r w:rsidRPr="00695907">
        <w:t>Only collect information you need.</w:t>
      </w:r>
    </w:p>
    <w:p w14:paraId="129E0532" w14:textId="77777777" w:rsidR="00BD5C53" w:rsidRPr="00695907" w:rsidRDefault="00BD5C53" w:rsidP="00BD5C53">
      <w:pPr>
        <w:pStyle w:val="ListParagraph"/>
        <w:numPr>
          <w:ilvl w:val="0"/>
          <w:numId w:val="2"/>
        </w:numPr>
        <w:spacing w:line="276" w:lineRule="auto"/>
        <w:jc w:val="both"/>
      </w:pPr>
      <w:r w:rsidRPr="00695907">
        <w:t>Don’t collect personal information about an individual just because you think that information may come in handy later.</w:t>
      </w:r>
    </w:p>
    <w:p w14:paraId="533A0DE1" w14:textId="77777777" w:rsidR="00BD5C53" w:rsidRPr="00695907" w:rsidRDefault="00BD5C53" w:rsidP="00BD5C53">
      <w:pPr>
        <w:pStyle w:val="ListParagraph"/>
        <w:numPr>
          <w:ilvl w:val="0"/>
          <w:numId w:val="2"/>
        </w:numPr>
        <w:spacing w:line="276" w:lineRule="auto"/>
        <w:jc w:val="both"/>
      </w:pPr>
      <w:r w:rsidRPr="00695907">
        <w:t>Tell people how you are going to handle the personal information you collect about them.</w:t>
      </w:r>
    </w:p>
    <w:p w14:paraId="75334BD9" w14:textId="77777777" w:rsidR="00BD5C53" w:rsidRPr="00695907" w:rsidRDefault="00BD5C53" w:rsidP="00BD5C53">
      <w:pPr>
        <w:pStyle w:val="ListParagraph"/>
        <w:numPr>
          <w:ilvl w:val="0"/>
          <w:numId w:val="2"/>
        </w:numPr>
        <w:spacing w:line="276" w:lineRule="auto"/>
        <w:jc w:val="both"/>
      </w:pPr>
      <w:r w:rsidRPr="00695907">
        <w:t>Think about using personal information for a particular purpose.</w:t>
      </w:r>
    </w:p>
    <w:p w14:paraId="4BF1BF3D" w14:textId="77777777" w:rsidR="00BD5C53" w:rsidRPr="00695907" w:rsidRDefault="00BD5C53" w:rsidP="00BD5C53">
      <w:pPr>
        <w:pStyle w:val="ListParagraph"/>
        <w:numPr>
          <w:ilvl w:val="0"/>
          <w:numId w:val="2"/>
        </w:numPr>
        <w:spacing w:line="276" w:lineRule="auto"/>
        <w:jc w:val="both"/>
      </w:pPr>
      <w:r w:rsidRPr="00695907">
        <w:t>Think before disclosing personal information.</w:t>
      </w:r>
    </w:p>
    <w:p w14:paraId="1442674C" w14:textId="77777777" w:rsidR="00BD5C53" w:rsidRPr="00695907" w:rsidRDefault="00BD5C53" w:rsidP="00BD5C53">
      <w:pPr>
        <w:pStyle w:val="ListParagraph"/>
        <w:numPr>
          <w:ilvl w:val="0"/>
          <w:numId w:val="2"/>
        </w:numPr>
        <w:spacing w:line="276" w:lineRule="auto"/>
        <w:jc w:val="both"/>
      </w:pPr>
      <w:r w:rsidRPr="00695907">
        <w:t>If people ask, give them access to the personal information you hold about them.</w:t>
      </w:r>
    </w:p>
    <w:p w14:paraId="528183CF" w14:textId="77777777" w:rsidR="00BD5C53" w:rsidRPr="00695907" w:rsidRDefault="00BD5C53" w:rsidP="00BD5C53">
      <w:pPr>
        <w:pStyle w:val="ListParagraph"/>
        <w:numPr>
          <w:ilvl w:val="0"/>
          <w:numId w:val="2"/>
        </w:numPr>
        <w:spacing w:line="276" w:lineRule="auto"/>
        <w:jc w:val="both"/>
      </w:pPr>
      <w:r w:rsidRPr="00695907">
        <w:t>Keep personal information secure.</w:t>
      </w:r>
    </w:p>
    <w:p w14:paraId="4DAA74B0" w14:textId="77777777" w:rsidR="00BD5C53" w:rsidRPr="00695907" w:rsidRDefault="00BD5C53" w:rsidP="00BD5C53">
      <w:pPr>
        <w:pStyle w:val="ListParagraph"/>
        <w:numPr>
          <w:ilvl w:val="0"/>
          <w:numId w:val="2"/>
        </w:numPr>
        <w:spacing w:line="276" w:lineRule="auto"/>
        <w:jc w:val="both"/>
      </w:pPr>
      <w:r w:rsidRPr="00695907">
        <w:t>Don’t keep information you no longer need or that you no longer need to retain.</w:t>
      </w:r>
    </w:p>
    <w:p w14:paraId="1F4B71A3" w14:textId="77777777" w:rsidR="00BD5C53" w:rsidRPr="00695907" w:rsidRDefault="00BD5C53" w:rsidP="00BD5C53">
      <w:pPr>
        <w:pStyle w:val="ListParagraph"/>
        <w:numPr>
          <w:ilvl w:val="0"/>
          <w:numId w:val="2"/>
        </w:numPr>
        <w:spacing w:line="276" w:lineRule="auto"/>
        <w:jc w:val="both"/>
      </w:pPr>
      <w:r w:rsidRPr="00695907">
        <w:t>Keep personal information accurate and up to date.</w:t>
      </w:r>
    </w:p>
    <w:p w14:paraId="2C532AB2" w14:textId="022477B4" w:rsidR="00BD5C53" w:rsidRPr="00695907" w:rsidRDefault="00BD5C53" w:rsidP="00BD5C53">
      <w:pPr>
        <w:pStyle w:val="ListParagraph"/>
        <w:numPr>
          <w:ilvl w:val="0"/>
          <w:numId w:val="2"/>
        </w:numPr>
        <w:spacing w:line="276" w:lineRule="auto"/>
        <w:jc w:val="both"/>
      </w:pPr>
      <w:r w:rsidRPr="00695907">
        <w:t>Consider making someone in your organisation or agency responsible for privacy</w:t>
      </w:r>
      <w:r w:rsidR="00672DD9" w:rsidRPr="00695907">
        <w:t>.</w:t>
      </w:r>
      <w:r w:rsidR="00E83E32">
        <w:t xml:space="preserve"> </w:t>
      </w:r>
    </w:p>
    <w:p w14:paraId="7FCE7F26" w14:textId="77777777" w:rsidR="00BD5C53" w:rsidRDefault="00BD5C53">
      <w:pPr>
        <w:rPr>
          <w:b/>
          <w:bCs/>
          <w:lang w:val="en-US"/>
        </w:rPr>
      </w:pPr>
    </w:p>
    <w:p w14:paraId="4A68015A" w14:textId="200D3C56" w:rsidR="009E61B9" w:rsidRDefault="000335B8">
      <w:r>
        <w:t xml:space="preserve">For more information, refer to the </w:t>
      </w:r>
      <w:hyperlink r:id="rId22" w:history="1">
        <w:r w:rsidRPr="000335B8">
          <w:rPr>
            <w:rStyle w:val="Hyperlink"/>
          </w:rPr>
          <w:t>Australian Privacy Principles.</w:t>
        </w:r>
      </w:hyperlink>
    </w:p>
    <w:sectPr w:rsidR="009E61B9" w:rsidSect="00A65A31">
      <w:footerReference w:type="default" r:id="rId23"/>
      <w:pgSz w:w="11906" w:h="16838" w:code="9"/>
      <w:pgMar w:top="1440" w:right="1325" w:bottom="993" w:left="1440" w:header="720" w:footer="454" w:gutter="0"/>
      <w:paperSrc w:first="261" w:other="261"/>
      <w:pgNumType w:start="1"/>
      <w:cols w:space="708"/>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9936" w14:textId="77777777" w:rsidR="00CF3728" w:rsidRDefault="00CF3728">
      <w:r>
        <w:separator/>
      </w:r>
    </w:p>
  </w:endnote>
  <w:endnote w:type="continuationSeparator" w:id="0">
    <w:p w14:paraId="5D64559E" w14:textId="77777777" w:rsidR="00CF3728" w:rsidRDefault="00CF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335524"/>
      <w:docPartObj>
        <w:docPartGallery w:val="Page Numbers (Bottom of Page)"/>
        <w:docPartUnique/>
      </w:docPartObj>
    </w:sdtPr>
    <w:sdtEndPr>
      <w:rPr>
        <w:noProof/>
      </w:rPr>
    </w:sdtEndPr>
    <w:sdtContent>
      <w:p w14:paraId="352D50A0" w14:textId="2AD289FF" w:rsidR="001C4B1C" w:rsidRDefault="001C4B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AADAE0" w14:textId="77777777" w:rsidR="00FE3DAB" w:rsidRPr="00916099" w:rsidRDefault="00FE3DA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492F9" w14:textId="77777777" w:rsidR="00CF3728" w:rsidRDefault="00CF3728">
      <w:r>
        <w:separator/>
      </w:r>
    </w:p>
  </w:footnote>
  <w:footnote w:type="continuationSeparator" w:id="0">
    <w:p w14:paraId="668ACDC6" w14:textId="77777777" w:rsidR="00CF3728" w:rsidRDefault="00CF3728">
      <w:r>
        <w:continuationSeparator/>
      </w:r>
    </w:p>
  </w:footnote>
  <w:footnote w:id="1">
    <w:p w14:paraId="5641B61E" w14:textId="02F85771" w:rsidR="00992AF6" w:rsidRDefault="00992AF6">
      <w:pPr>
        <w:pStyle w:val="FootnoteText"/>
      </w:pPr>
      <w:r>
        <w:rPr>
          <w:rStyle w:val="FootnoteReference"/>
        </w:rPr>
        <w:footnoteRef/>
      </w:r>
      <w:r>
        <w:t xml:space="preserve"> Prof. Ron McCallum, (2020). The UNCRPD: An Assessment of Australia’s Level of Compliance. Royal Commission into Violence, Abuse, Neglect and Exploitation of People with Disability, October 2020, </w:t>
      </w:r>
      <w:hyperlink r:id="rId1" w:history="1">
        <w:r w:rsidRPr="00992AF6">
          <w:rPr>
            <w:rStyle w:val="Hyperlink"/>
          </w:rPr>
          <w:t>Research Report.</w:t>
        </w:r>
      </w:hyperlink>
    </w:p>
  </w:footnote>
  <w:footnote w:id="2">
    <w:p w14:paraId="63E91525" w14:textId="5E3B6D53" w:rsidR="001C4B1C" w:rsidRDefault="001C4B1C">
      <w:pPr>
        <w:pStyle w:val="FootnoteText"/>
      </w:pPr>
      <w:r>
        <w:rPr>
          <w:rStyle w:val="FootnoteReference"/>
        </w:rPr>
        <w:footnoteRef/>
      </w:r>
      <w:r>
        <w:t xml:space="preserve"> </w:t>
      </w:r>
      <w:hyperlink r:id="rId2" w:history="1">
        <w:r w:rsidRPr="001C4B1C">
          <w:rPr>
            <w:rStyle w:val="Hyperlink"/>
          </w:rPr>
          <w:t>Personal Information Protection Act 20024</w:t>
        </w:r>
      </w:hyperlink>
      <w:r>
        <w:t>, Schedule 1, 10. (1)(c).</w:t>
      </w:r>
    </w:p>
  </w:footnote>
  <w:footnote w:id="3">
    <w:p w14:paraId="08A8BCD9" w14:textId="153D4F97" w:rsidR="00695907" w:rsidRDefault="00695907">
      <w:pPr>
        <w:pStyle w:val="FootnoteText"/>
      </w:pPr>
      <w:r>
        <w:rPr>
          <w:rStyle w:val="FootnoteReference"/>
        </w:rPr>
        <w:footnoteRef/>
      </w:r>
      <w:r>
        <w:t xml:space="preserve"> Office of the State Archives, Retention and Disposal Schedule for Functional records of the Public Trust Office</w:t>
      </w:r>
      <w:r w:rsidR="00E83E32">
        <w:t xml:space="preserve">, </w:t>
      </w:r>
      <w:hyperlink r:id="rId3" w:history="1">
        <w:r w:rsidR="00E83E32" w:rsidRPr="00E83E32">
          <w:rPr>
            <w:rStyle w:val="Hyperlink"/>
          </w:rPr>
          <w:t>website</w:t>
        </w:r>
      </w:hyperlink>
      <w:r w:rsidR="00E83E32">
        <w:t>.</w:t>
      </w:r>
    </w:p>
  </w:footnote>
  <w:footnote w:id="4">
    <w:p w14:paraId="01B4B5E8" w14:textId="7BCACE7B" w:rsidR="005C1578" w:rsidRDefault="005C1578">
      <w:pPr>
        <w:pStyle w:val="FootnoteText"/>
      </w:pPr>
      <w:r>
        <w:rPr>
          <w:rStyle w:val="FootnoteReference"/>
        </w:rPr>
        <w:footnoteRef/>
      </w:r>
      <w:r>
        <w:t xml:space="preserve"> Office of the Australian Information Commissioner, Australian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11F2"/>
    <w:multiLevelType w:val="hybridMultilevel"/>
    <w:tmpl w:val="3450337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3570352D"/>
    <w:multiLevelType w:val="multilevel"/>
    <w:tmpl w:val="BB56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443D0"/>
    <w:multiLevelType w:val="hybridMultilevel"/>
    <w:tmpl w:val="78B41EF2"/>
    <w:lvl w:ilvl="0" w:tplc="558C54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EE2CBE"/>
    <w:multiLevelType w:val="hybridMultilevel"/>
    <w:tmpl w:val="4AF4EA3E"/>
    <w:lvl w:ilvl="0" w:tplc="558C54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5C0C13"/>
    <w:multiLevelType w:val="multilevel"/>
    <w:tmpl w:val="CC3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687865"/>
    <w:multiLevelType w:val="hybridMultilevel"/>
    <w:tmpl w:val="259E783C"/>
    <w:lvl w:ilvl="0" w:tplc="558C54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3808753">
    <w:abstractNumId w:val="0"/>
  </w:num>
  <w:num w:numId="2" w16cid:durableId="1421951229">
    <w:abstractNumId w:val="5"/>
  </w:num>
  <w:num w:numId="3" w16cid:durableId="675687848">
    <w:abstractNumId w:val="3"/>
  </w:num>
  <w:num w:numId="4" w16cid:durableId="1774935714">
    <w:abstractNumId w:val="2"/>
  </w:num>
  <w:num w:numId="5" w16cid:durableId="561794359">
    <w:abstractNumId w:val="4"/>
  </w:num>
  <w:num w:numId="6" w16cid:durableId="890919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AB"/>
    <w:rsid w:val="000135EB"/>
    <w:rsid w:val="000335B8"/>
    <w:rsid w:val="000720C2"/>
    <w:rsid w:val="00076663"/>
    <w:rsid w:val="000A5FCC"/>
    <w:rsid w:val="000B09A0"/>
    <w:rsid w:val="000B6F6A"/>
    <w:rsid w:val="000C47E4"/>
    <w:rsid w:val="000D4128"/>
    <w:rsid w:val="00106C3A"/>
    <w:rsid w:val="00125355"/>
    <w:rsid w:val="00152479"/>
    <w:rsid w:val="001A0AFE"/>
    <w:rsid w:val="001B10DD"/>
    <w:rsid w:val="001C4B1C"/>
    <w:rsid w:val="001D5AA7"/>
    <w:rsid w:val="00245629"/>
    <w:rsid w:val="00252D96"/>
    <w:rsid w:val="002B4DEE"/>
    <w:rsid w:val="002D3998"/>
    <w:rsid w:val="003152EF"/>
    <w:rsid w:val="00347967"/>
    <w:rsid w:val="003533EE"/>
    <w:rsid w:val="00371346"/>
    <w:rsid w:val="003B284F"/>
    <w:rsid w:val="003E7637"/>
    <w:rsid w:val="00412273"/>
    <w:rsid w:val="0045434F"/>
    <w:rsid w:val="004612ED"/>
    <w:rsid w:val="004B5F28"/>
    <w:rsid w:val="004C6C92"/>
    <w:rsid w:val="004D2ECA"/>
    <w:rsid w:val="0052210F"/>
    <w:rsid w:val="005718A7"/>
    <w:rsid w:val="005C1578"/>
    <w:rsid w:val="005F57E7"/>
    <w:rsid w:val="00611A67"/>
    <w:rsid w:val="006503AA"/>
    <w:rsid w:val="00652335"/>
    <w:rsid w:val="00664F9A"/>
    <w:rsid w:val="00672C43"/>
    <w:rsid w:val="00672DD9"/>
    <w:rsid w:val="00695907"/>
    <w:rsid w:val="006D0B64"/>
    <w:rsid w:val="00710FEA"/>
    <w:rsid w:val="007C5A6B"/>
    <w:rsid w:val="007D6AB2"/>
    <w:rsid w:val="007E1F31"/>
    <w:rsid w:val="007E48CE"/>
    <w:rsid w:val="00804019"/>
    <w:rsid w:val="00834777"/>
    <w:rsid w:val="00837378"/>
    <w:rsid w:val="00837987"/>
    <w:rsid w:val="00840568"/>
    <w:rsid w:val="00845257"/>
    <w:rsid w:val="0086226F"/>
    <w:rsid w:val="008A668B"/>
    <w:rsid w:val="008D302A"/>
    <w:rsid w:val="008F0F28"/>
    <w:rsid w:val="0092656D"/>
    <w:rsid w:val="00932668"/>
    <w:rsid w:val="0097277F"/>
    <w:rsid w:val="00992AF6"/>
    <w:rsid w:val="009A449E"/>
    <w:rsid w:val="009C5E0F"/>
    <w:rsid w:val="009E61B9"/>
    <w:rsid w:val="009F00EC"/>
    <w:rsid w:val="00A15543"/>
    <w:rsid w:val="00A54A38"/>
    <w:rsid w:val="00A65A31"/>
    <w:rsid w:val="00A7133C"/>
    <w:rsid w:val="00A735A5"/>
    <w:rsid w:val="00AD6074"/>
    <w:rsid w:val="00B318E3"/>
    <w:rsid w:val="00B909DE"/>
    <w:rsid w:val="00B94773"/>
    <w:rsid w:val="00BB775A"/>
    <w:rsid w:val="00BD5C53"/>
    <w:rsid w:val="00BE1D3D"/>
    <w:rsid w:val="00C46E15"/>
    <w:rsid w:val="00C54E9B"/>
    <w:rsid w:val="00CB4664"/>
    <w:rsid w:val="00CF33CC"/>
    <w:rsid w:val="00CF3728"/>
    <w:rsid w:val="00CF4718"/>
    <w:rsid w:val="00D27528"/>
    <w:rsid w:val="00D41557"/>
    <w:rsid w:val="00D564E6"/>
    <w:rsid w:val="00D6734E"/>
    <w:rsid w:val="00D856FF"/>
    <w:rsid w:val="00DB156F"/>
    <w:rsid w:val="00DD1DB8"/>
    <w:rsid w:val="00DE38B7"/>
    <w:rsid w:val="00DF66C9"/>
    <w:rsid w:val="00E24E57"/>
    <w:rsid w:val="00E2797D"/>
    <w:rsid w:val="00E4247D"/>
    <w:rsid w:val="00E83E32"/>
    <w:rsid w:val="00E96F70"/>
    <w:rsid w:val="00E96FC5"/>
    <w:rsid w:val="00ED34AB"/>
    <w:rsid w:val="00ED3C5D"/>
    <w:rsid w:val="00F00BDA"/>
    <w:rsid w:val="00F31266"/>
    <w:rsid w:val="00F46879"/>
    <w:rsid w:val="00F575A9"/>
    <w:rsid w:val="00F66FE6"/>
    <w:rsid w:val="00FC0CA5"/>
    <w:rsid w:val="00FE22F2"/>
    <w:rsid w:val="00FE2E19"/>
    <w:rsid w:val="00FE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6D1D"/>
  <w15:chartTrackingRefBased/>
  <w15:docId w15:val="{75A323D0-3A67-4B48-87DD-084E2260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AB"/>
  </w:style>
  <w:style w:type="paragraph" w:styleId="Heading1">
    <w:name w:val="heading 1"/>
    <w:basedOn w:val="Heading2"/>
    <w:next w:val="BodyText"/>
    <w:link w:val="Heading1Char"/>
    <w:qFormat/>
    <w:rsid w:val="00FE3DAB"/>
    <w:pPr>
      <w:spacing w:before="130" w:line="280" w:lineRule="atLeast"/>
      <w:outlineLvl w:val="0"/>
    </w:pPr>
    <w:rPr>
      <w:rFonts w:ascii="Times New Roman" w:eastAsia="Times New Roman" w:hAnsi="Times New Roman" w:cs="Times New Roman"/>
      <w:bCs w:val="0"/>
      <w:color w:val="auto"/>
      <w:sz w:val="24"/>
      <w:szCs w:val="20"/>
    </w:rPr>
  </w:style>
  <w:style w:type="paragraph" w:styleId="Heading2">
    <w:name w:val="heading 2"/>
    <w:basedOn w:val="Normal"/>
    <w:next w:val="Normal"/>
    <w:link w:val="Heading2Char"/>
    <w:uiPriority w:val="9"/>
    <w:semiHidden/>
    <w:unhideWhenUsed/>
    <w:qFormat/>
    <w:rsid w:val="00710FEA"/>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qFormat/>
    <w:rsid w:val="00710FE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outlineLvl w:val="2"/>
    </w:pPr>
    <w:rPr>
      <w:b/>
      <w:bCs/>
      <w:spacing w:val="-3"/>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10F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10FEA"/>
    <w:rPr>
      <w:b/>
      <w:bCs/>
      <w:spacing w:val="-3"/>
      <w:sz w:val="26"/>
      <w:szCs w:val="26"/>
      <w:u w:val="single"/>
    </w:rPr>
  </w:style>
  <w:style w:type="paragraph" w:styleId="ListParagraph">
    <w:name w:val="List Paragraph"/>
    <w:basedOn w:val="Normal"/>
    <w:uiPriority w:val="34"/>
    <w:qFormat/>
    <w:rsid w:val="00710FEA"/>
    <w:pPr>
      <w:ind w:left="720"/>
      <w:contextualSpacing/>
    </w:pPr>
  </w:style>
  <w:style w:type="character" w:customStyle="1" w:styleId="Heading1Char">
    <w:name w:val="Heading 1 Char"/>
    <w:basedOn w:val="DefaultParagraphFont"/>
    <w:link w:val="Heading1"/>
    <w:rsid w:val="00FE3DAB"/>
    <w:rPr>
      <w:rFonts w:ascii="Times New Roman" w:hAnsi="Times New Roman"/>
      <w:b/>
      <w:sz w:val="24"/>
      <w:szCs w:val="20"/>
    </w:rPr>
  </w:style>
  <w:style w:type="paragraph" w:styleId="BodyText">
    <w:name w:val="Body Text"/>
    <w:basedOn w:val="Normal"/>
    <w:link w:val="BodyTextChar"/>
    <w:semiHidden/>
    <w:rsid w:val="00FE3DAB"/>
    <w:pPr>
      <w:spacing w:before="130" w:after="130" w:line="260" w:lineRule="atLeast"/>
    </w:pPr>
    <w:rPr>
      <w:rFonts w:ascii="Times New Roman" w:hAnsi="Times New Roman"/>
      <w:szCs w:val="20"/>
    </w:rPr>
  </w:style>
  <w:style w:type="character" w:customStyle="1" w:styleId="BodyTextChar">
    <w:name w:val="Body Text Char"/>
    <w:basedOn w:val="DefaultParagraphFont"/>
    <w:link w:val="BodyText"/>
    <w:semiHidden/>
    <w:rsid w:val="00FE3DAB"/>
    <w:rPr>
      <w:rFonts w:ascii="Times New Roman" w:hAnsi="Times New Roman"/>
      <w:szCs w:val="20"/>
    </w:rPr>
  </w:style>
  <w:style w:type="paragraph" w:customStyle="1" w:styleId="Default">
    <w:name w:val="Default"/>
    <w:rsid w:val="00FE3DAB"/>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unhideWhenUsed/>
    <w:rsid w:val="00FE3DAB"/>
    <w:pPr>
      <w:tabs>
        <w:tab w:val="center" w:pos="4513"/>
        <w:tab w:val="right" w:pos="9026"/>
      </w:tabs>
    </w:pPr>
  </w:style>
  <w:style w:type="character" w:customStyle="1" w:styleId="FooterChar">
    <w:name w:val="Footer Char"/>
    <w:basedOn w:val="DefaultParagraphFont"/>
    <w:link w:val="Footer"/>
    <w:uiPriority w:val="99"/>
    <w:rsid w:val="00FE3DAB"/>
  </w:style>
  <w:style w:type="character" w:styleId="CommentReference">
    <w:name w:val="annotation reference"/>
    <w:basedOn w:val="DefaultParagraphFont"/>
    <w:uiPriority w:val="99"/>
    <w:semiHidden/>
    <w:unhideWhenUsed/>
    <w:rsid w:val="00FE3DAB"/>
    <w:rPr>
      <w:sz w:val="16"/>
      <w:szCs w:val="16"/>
    </w:rPr>
  </w:style>
  <w:style w:type="paragraph" w:styleId="CommentText">
    <w:name w:val="annotation text"/>
    <w:basedOn w:val="Normal"/>
    <w:link w:val="CommentTextChar"/>
    <w:uiPriority w:val="99"/>
    <w:unhideWhenUsed/>
    <w:rsid w:val="00FE3DAB"/>
    <w:rPr>
      <w:sz w:val="20"/>
      <w:szCs w:val="20"/>
    </w:rPr>
  </w:style>
  <w:style w:type="character" w:customStyle="1" w:styleId="CommentTextChar">
    <w:name w:val="Comment Text Char"/>
    <w:basedOn w:val="DefaultParagraphFont"/>
    <w:link w:val="CommentText"/>
    <w:uiPriority w:val="99"/>
    <w:rsid w:val="00FE3DAB"/>
    <w:rPr>
      <w:sz w:val="20"/>
      <w:szCs w:val="20"/>
    </w:rPr>
  </w:style>
  <w:style w:type="character" w:styleId="Hyperlink">
    <w:name w:val="Hyperlink"/>
    <w:basedOn w:val="DefaultParagraphFont"/>
    <w:uiPriority w:val="99"/>
    <w:unhideWhenUsed/>
    <w:rsid w:val="00A7133C"/>
    <w:rPr>
      <w:color w:val="0000FF" w:themeColor="hyperlink"/>
      <w:u w:val="single"/>
    </w:rPr>
  </w:style>
  <w:style w:type="character" w:styleId="UnresolvedMention">
    <w:name w:val="Unresolved Mention"/>
    <w:basedOn w:val="DefaultParagraphFont"/>
    <w:uiPriority w:val="99"/>
    <w:semiHidden/>
    <w:unhideWhenUsed/>
    <w:rsid w:val="00A7133C"/>
    <w:rPr>
      <w:color w:val="605E5C"/>
      <w:shd w:val="clear" w:color="auto" w:fill="E1DFDD"/>
    </w:rPr>
  </w:style>
  <w:style w:type="character" w:styleId="FollowedHyperlink">
    <w:name w:val="FollowedHyperlink"/>
    <w:basedOn w:val="DefaultParagraphFont"/>
    <w:uiPriority w:val="99"/>
    <w:semiHidden/>
    <w:unhideWhenUsed/>
    <w:rsid w:val="00347967"/>
    <w:rPr>
      <w:color w:val="800080" w:themeColor="followedHyperlink"/>
      <w:u w:val="single"/>
    </w:rPr>
  </w:style>
  <w:style w:type="paragraph" w:styleId="NormalWeb">
    <w:name w:val="Normal (Web)"/>
    <w:basedOn w:val="Normal"/>
    <w:uiPriority w:val="99"/>
    <w:semiHidden/>
    <w:unhideWhenUsed/>
    <w:rsid w:val="00BB775A"/>
    <w:rPr>
      <w:rFonts w:ascii="Times New Roman" w:hAnsi="Times New Roman"/>
      <w:sz w:val="24"/>
      <w:szCs w:val="24"/>
    </w:rPr>
  </w:style>
  <w:style w:type="paragraph" w:styleId="FootnoteText">
    <w:name w:val="footnote text"/>
    <w:basedOn w:val="Normal"/>
    <w:link w:val="FootnoteTextChar"/>
    <w:uiPriority w:val="99"/>
    <w:semiHidden/>
    <w:unhideWhenUsed/>
    <w:rsid w:val="005C1578"/>
    <w:rPr>
      <w:sz w:val="20"/>
      <w:szCs w:val="20"/>
    </w:rPr>
  </w:style>
  <w:style w:type="character" w:customStyle="1" w:styleId="FootnoteTextChar">
    <w:name w:val="Footnote Text Char"/>
    <w:basedOn w:val="DefaultParagraphFont"/>
    <w:link w:val="FootnoteText"/>
    <w:uiPriority w:val="99"/>
    <w:semiHidden/>
    <w:rsid w:val="005C1578"/>
    <w:rPr>
      <w:sz w:val="20"/>
      <w:szCs w:val="20"/>
    </w:rPr>
  </w:style>
  <w:style w:type="character" w:styleId="FootnoteReference">
    <w:name w:val="footnote reference"/>
    <w:basedOn w:val="DefaultParagraphFont"/>
    <w:uiPriority w:val="99"/>
    <w:semiHidden/>
    <w:unhideWhenUsed/>
    <w:rsid w:val="005C1578"/>
    <w:rPr>
      <w:vertAlign w:val="superscript"/>
    </w:rPr>
  </w:style>
  <w:style w:type="paragraph" w:styleId="Header">
    <w:name w:val="header"/>
    <w:basedOn w:val="Normal"/>
    <w:link w:val="HeaderChar"/>
    <w:uiPriority w:val="99"/>
    <w:unhideWhenUsed/>
    <w:rsid w:val="001C4B1C"/>
    <w:pPr>
      <w:tabs>
        <w:tab w:val="center" w:pos="4513"/>
        <w:tab w:val="right" w:pos="9026"/>
      </w:tabs>
    </w:pPr>
  </w:style>
  <w:style w:type="character" w:customStyle="1" w:styleId="HeaderChar">
    <w:name w:val="Header Char"/>
    <w:basedOn w:val="DefaultParagraphFont"/>
    <w:link w:val="Header"/>
    <w:uiPriority w:val="99"/>
    <w:rsid w:val="001C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19144">
      <w:bodyDiv w:val="1"/>
      <w:marLeft w:val="0"/>
      <w:marRight w:val="0"/>
      <w:marTop w:val="0"/>
      <w:marBottom w:val="0"/>
      <w:divBdr>
        <w:top w:val="none" w:sz="0" w:space="0" w:color="auto"/>
        <w:left w:val="none" w:sz="0" w:space="0" w:color="auto"/>
        <w:bottom w:val="none" w:sz="0" w:space="0" w:color="auto"/>
        <w:right w:val="none" w:sz="0" w:space="0" w:color="auto"/>
      </w:divBdr>
    </w:div>
    <w:div w:id="701127151">
      <w:bodyDiv w:val="1"/>
      <w:marLeft w:val="0"/>
      <w:marRight w:val="0"/>
      <w:marTop w:val="0"/>
      <w:marBottom w:val="0"/>
      <w:divBdr>
        <w:top w:val="none" w:sz="0" w:space="0" w:color="auto"/>
        <w:left w:val="none" w:sz="0" w:space="0" w:color="auto"/>
        <w:bottom w:val="none" w:sz="0" w:space="0" w:color="auto"/>
        <w:right w:val="none" w:sz="0" w:space="0" w:color="auto"/>
      </w:divBdr>
    </w:div>
    <w:div w:id="1108696055">
      <w:bodyDiv w:val="1"/>
      <w:marLeft w:val="0"/>
      <w:marRight w:val="0"/>
      <w:marTop w:val="0"/>
      <w:marBottom w:val="0"/>
      <w:divBdr>
        <w:top w:val="none" w:sz="0" w:space="0" w:color="auto"/>
        <w:left w:val="none" w:sz="0" w:space="0" w:color="auto"/>
        <w:bottom w:val="none" w:sz="0" w:space="0" w:color="auto"/>
        <w:right w:val="none" w:sz="0" w:space="0" w:color="auto"/>
      </w:divBdr>
      <w:divsChild>
        <w:div w:id="72426262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893541970">
              <w:blockQuote w:val="1"/>
              <w:marLeft w:val="0"/>
              <w:marRight w:val="0"/>
              <w:marTop w:val="120"/>
              <w:marBottom w:val="120"/>
              <w:divBdr>
                <w:top w:val="none" w:sz="0" w:space="0" w:color="auto"/>
                <w:left w:val="none" w:sz="0" w:space="0" w:color="auto"/>
                <w:bottom w:val="none" w:sz="0" w:space="0" w:color="auto"/>
                <w:right w:val="none" w:sz="0" w:space="0" w:color="auto"/>
              </w:divBdr>
            </w:div>
            <w:div w:id="1865050738">
              <w:blockQuote w:val="1"/>
              <w:marLeft w:val="0"/>
              <w:marRight w:val="0"/>
              <w:marTop w:val="120"/>
              <w:marBottom w:val="120"/>
              <w:divBdr>
                <w:top w:val="none" w:sz="0" w:space="0" w:color="auto"/>
                <w:left w:val="none" w:sz="0" w:space="0" w:color="auto"/>
                <w:bottom w:val="none" w:sz="0" w:space="0" w:color="auto"/>
                <w:right w:val="none" w:sz="0" w:space="0" w:color="auto"/>
              </w:divBdr>
              <w:divsChild>
                <w:div w:id="142502807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13063604">
                      <w:blockQuote w:val="1"/>
                      <w:marLeft w:val="0"/>
                      <w:marRight w:val="0"/>
                      <w:marTop w:val="120"/>
                      <w:marBottom w:val="120"/>
                      <w:divBdr>
                        <w:top w:val="none" w:sz="0" w:space="0" w:color="auto"/>
                        <w:left w:val="none" w:sz="0" w:space="0" w:color="auto"/>
                        <w:bottom w:val="none" w:sz="0" w:space="0" w:color="auto"/>
                        <w:right w:val="none" w:sz="0" w:space="0" w:color="auto"/>
                      </w:divBdr>
                    </w:div>
                    <w:div w:id="105122907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01670909">
              <w:blockQuote w:val="1"/>
              <w:marLeft w:val="0"/>
              <w:marRight w:val="0"/>
              <w:marTop w:val="120"/>
              <w:marBottom w:val="120"/>
              <w:divBdr>
                <w:top w:val="none" w:sz="0" w:space="0" w:color="auto"/>
                <w:left w:val="none" w:sz="0" w:space="0" w:color="auto"/>
                <w:bottom w:val="none" w:sz="0" w:space="0" w:color="auto"/>
                <w:right w:val="none" w:sz="0" w:space="0" w:color="auto"/>
              </w:divBdr>
            </w:div>
            <w:div w:id="151726474">
              <w:blockQuote w:val="1"/>
              <w:marLeft w:val="0"/>
              <w:marRight w:val="0"/>
              <w:marTop w:val="120"/>
              <w:marBottom w:val="120"/>
              <w:divBdr>
                <w:top w:val="none" w:sz="0" w:space="0" w:color="auto"/>
                <w:left w:val="none" w:sz="0" w:space="0" w:color="auto"/>
                <w:bottom w:val="none" w:sz="0" w:space="0" w:color="auto"/>
                <w:right w:val="none" w:sz="0" w:space="0" w:color="auto"/>
              </w:divBdr>
            </w:div>
            <w:div w:id="397827323">
              <w:blockQuote w:val="1"/>
              <w:marLeft w:val="0"/>
              <w:marRight w:val="0"/>
              <w:marTop w:val="120"/>
              <w:marBottom w:val="120"/>
              <w:divBdr>
                <w:top w:val="none" w:sz="0" w:space="0" w:color="auto"/>
                <w:left w:val="none" w:sz="0" w:space="0" w:color="auto"/>
                <w:bottom w:val="none" w:sz="0" w:space="0" w:color="auto"/>
                <w:right w:val="none" w:sz="0" w:space="0" w:color="auto"/>
              </w:divBdr>
            </w:div>
            <w:div w:id="953900912">
              <w:blockQuote w:val="1"/>
              <w:marLeft w:val="0"/>
              <w:marRight w:val="0"/>
              <w:marTop w:val="120"/>
              <w:marBottom w:val="120"/>
              <w:divBdr>
                <w:top w:val="none" w:sz="0" w:space="0" w:color="auto"/>
                <w:left w:val="none" w:sz="0" w:space="0" w:color="auto"/>
                <w:bottom w:val="none" w:sz="0" w:space="0" w:color="auto"/>
                <w:right w:val="none" w:sz="0" w:space="0" w:color="auto"/>
              </w:divBdr>
            </w:div>
            <w:div w:id="196595847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1166232">
      <w:bodyDiv w:val="1"/>
      <w:marLeft w:val="0"/>
      <w:marRight w:val="0"/>
      <w:marTop w:val="0"/>
      <w:marBottom w:val="0"/>
      <w:divBdr>
        <w:top w:val="none" w:sz="0" w:space="0" w:color="auto"/>
        <w:left w:val="none" w:sz="0" w:space="0" w:color="auto"/>
        <w:bottom w:val="none" w:sz="0" w:space="0" w:color="auto"/>
        <w:right w:val="none" w:sz="0" w:space="0" w:color="auto"/>
      </w:divBdr>
    </w:div>
    <w:div w:id="1174149430">
      <w:bodyDiv w:val="1"/>
      <w:marLeft w:val="0"/>
      <w:marRight w:val="0"/>
      <w:marTop w:val="0"/>
      <w:marBottom w:val="0"/>
      <w:divBdr>
        <w:top w:val="none" w:sz="0" w:space="0" w:color="auto"/>
        <w:left w:val="none" w:sz="0" w:space="0" w:color="auto"/>
        <w:bottom w:val="none" w:sz="0" w:space="0" w:color="auto"/>
        <w:right w:val="none" w:sz="0" w:space="0" w:color="auto"/>
      </w:divBdr>
    </w:div>
    <w:div w:id="1996909879">
      <w:bodyDiv w:val="1"/>
      <w:marLeft w:val="0"/>
      <w:marRight w:val="0"/>
      <w:marTop w:val="0"/>
      <w:marBottom w:val="0"/>
      <w:divBdr>
        <w:top w:val="none" w:sz="0" w:space="0" w:color="auto"/>
        <w:left w:val="none" w:sz="0" w:space="0" w:color="auto"/>
        <w:bottom w:val="none" w:sz="0" w:space="0" w:color="auto"/>
        <w:right w:val="none" w:sz="0" w:space="0" w:color="auto"/>
      </w:divBdr>
      <w:divsChild>
        <w:div w:id="397631441">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68159368">
              <w:blockQuote w:val="1"/>
              <w:marLeft w:val="0"/>
              <w:marRight w:val="0"/>
              <w:marTop w:val="120"/>
              <w:marBottom w:val="120"/>
              <w:divBdr>
                <w:top w:val="none" w:sz="0" w:space="0" w:color="auto"/>
                <w:left w:val="none" w:sz="0" w:space="0" w:color="auto"/>
                <w:bottom w:val="none" w:sz="0" w:space="0" w:color="auto"/>
                <w:right w:val="none" w:sz="0" w:space="0" w:color="auto"/>
              </w:divBdr>
            </w:div>
            <w:div w:id="1890529574">
              <w:blockQuote w:val="1"/>
              <w:marLeft w:val="0"/>
              <w:marRight w:val="0"/>
              <w:marTop w:val="120"/>
              <w:marBottom w:val="120"/>
              <w:divBdr>
                <w:top w:val="none" w:sz="0" w:space="0" w:color="auto"/>
                <w:left w:val="none" w:sz="0" w:space="0" w:color="auto"/>
                <w:bottom w:val="none" w:sz="0" w:space="0" w:color="auto"/>
                <w:right w:val="none" w:sz="0" w:space="0" w:color="auto"/>
              </w:divBdr>
              <w:divsChild>
                <w:div w:id="501747936">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852336219">
                      <w:blockQuote w:val="1"/>
                      <w:marLeft w:val="0"/>
                      <w:marRight w:val="0"/>
                      <w:marTop w:val="120"/>
                      <w:marBottom w:val="120"/>
                      <w:divBdr>
                        <w:top w:val="none" w:sz="0" w:space="0" w:color="auto"/>
                        <w:left w:val="none" w:sz="0" w:space="0" w:color="auto"/>
                        <w:bottom w:val="none" w:sz="0" w:space="0" w:color="auto"/>
                        <w:right w:val="none" w:sz="0" w:space="0" w:color="auto"/>
                      </w:divBdr>
                    </w:div>
                    <w:div w:id="48721344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3495505">
              <w:blockQuote w:val="1"/>
              <w:marLeft w:val="0"/>
              <w:marRight w:val="0"/>
              <w:marTop w:val="120"/>
              <w:marBottom w:val="120"/>
              <w:divBdr>
                <w:top w:val="none" w:sz="0" w:space="0" w:color="auto"/>
                <w:left w:val="none" w:sz="0" w:space="0" w:color="auto"/>
                <w:bottom w:val="none" w:sz="0" w:space="0" w:color="auto"/>
                <w:right w:val="none" w:sz="0" w:space="0" w:color="auto"/>
              </w:divBdr>
            </w:div>
            <w:div w:id="766538418">
              <w:blockQuote w:val="1"/>
              <w:marLeft w:val="0"/>
              <w:marRight w:val="0"/>
              <w:marTop w:val="120"/>
              <w:marBottom w:val="120"/>
              <w:divBdr>
                <w:top w:val="none" w:sz="0" w:space="0" w:color="auto"/>
                <w:left w:val="none" w:sz="0" w:space="0" w:color="auto"/>
                <w:bottom w:val="none" w:sz="0" w:space="0" w:color="auto"/>
                <w:right w:val="none" w:sz="0" w:space="0" w:color="auto"/>
              </w:divBdr>
            </w:div>
            <w:div w:id="950161912">
              <w:blockQuote w:val="1"/>
              <w:marLeft w:val="0"/>
              <w:marRight w:val="0"/>
              <w:marTop w:val="120"/>
              <w:marBottom w:val="120"/>
              <w:divBdr>
                <w:top w:val="none" w:sz="0" w:space="0" w:color="auto"/>
                <w:left w:val="none" w:sz="0" w:space="0" w:color="auto"/>
                <w:bottom w:val="none" w:sz="0" w:space="0" w:color="auto"/>
                <w:right w:val="none" w:sz="0" w:space="0" w:color="auto"/>
              </w:divBdr>
            </w:div>
            <w:div w:id="1029573166">
              <w:blockQuote w:val="1"/>
              <w:marLeft w:val="0"/>
              <w:marRight w:val="0"/>
              <w:marTop w:val="120"/>
              <w:marBottom w:val="120"/>
              <w:divBdr>
                <w:top w:val="none" w:sz="0" w:space="0" w:color="auto"/>
                <w:left w:val="none" w:sz="0" w:space="0" w:color="auto"/>
                <w:bottom w:val="none" w:sz="0" w:space="0" w:color="auto"/>
                <w:right w:val="none" w:sz="0" w:space="0" w:color="auto"/>
              </w:divBdr>
            </w:div>
            <w:div w:id="11255390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05880979">
      <w:bodyDiv w:val="1"/>
      <w:marLeft w:val="0"/>
      <w:marRight w:val="0"/>
      <w:marTop w:val="0"/>
      <w:marBottom w:val="0"/>
      <w:divBdr>
        <w:top w:val="none" w:sz="0" w:space="0" w:color="auto"/>
        <w:left w:val="none" w:sz="0" w:space="0" w:color="auto"/>
        <w:bottom w:val="none" w:sz="0" w:space="0" w:color="auto"/>
        <w:right w:val="none" w:sz="0" w:space="0" w:color="auto"/>
      </w:divBdr>
    </w:div>
    <w:div w:id="214427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ublictrustee.tas.gov.au/financial-administration/financial-administration-faqs/how-is-your-privacy-protected/" TargetMode="External"/><Relationship Id="rId18" Type="http://schemas.openxmlformats.org/officeDocument/2006/relationships/hyperlink" Target="https://www.legislation.tas.gov.au/view/html/inforce/current/act-1930-061" TargetMode="External"/><Relationship Id="rId3" Type="http://schemas.openxmlformats.org/officeDocument/2006/relationships/styles" Target="styles.xml"/><Relationship Id="rId21" Type="http://schemas.openxmlformats.org/officeDocument/2006/relationships/hyperlink" Target="https://www.dpac.tas.gov.au/divisions/digital_strategy_and_services/cybersecurity" TargetMode="External"/><Relationship Id="rId7" Type="http://schemas.openxmlformats.org/officeDocument/2006/relationships/endnotes" Target="endnotes.xml"/><Relationship Id="rId12" Type="http://schemas.openxmlformats.org/officeDocument/2006/relationships/hyperlink" Target="https://www.legislation.tas.gov.au/view/whole/html/inforce/current/act-1995-044" TargetMode="External"/><Relationship Id="rId17" Type="http://schemas.openxmlformats.org/officeDocument/2006/relationships/hyperlink" Target="https://www.oaic.gov.au/privacy/australian-privacy-principl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ublictrustee.tas.gov.au/contact/feedback/" TargetMode="External"/><Relationship Id="rId20" Type="http://schemas.openxmlformats.org/officeDocument/2006/relationships/hyperlink" Target="https://www.oaic.gov.au/privacy/australian-privacy-principles/australian-privacy-principles-quick-refer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tas.gov.au/view/whole/html/inforce/current/act-1995-04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pac.tas.gov.au/divisions/digital_strategy_and_services/cybersecurity" TargetMode="External"/><Relationship Id="rId23" Type="http://schemas.openxmlformats.org/officeDocument/2006/relationships/footer" Target="footer1.xml"/><Relationship Id="rId10" Type="http://schemas.openxmlformats.org/officeDocument/2006/relationships/hyperlink" Target="https://www.legislation.tas.gov.au/view/whole/html/inforce/current/act-1995-044" TargetMode="External"/><Relationship Id="rId19" Type="http://schemas.openxmlformats.org/officeDocument/2006/relationships/hyperlink" Target="https://www.tas.gov.au/pip" TargetMode="External"/><Relationship Id="rId4" Type="http://schemas.openxmlformats.org/officeDocument/2006/relationships/settings" Target="settings.xml"/><Relationship Id="rId9" Type="http://schemas.openxmlformats.org/officeDocument/2006/relationships/hyperlink" Target="https://www.legislation.tas.gov.au/view/whole/html/inforce/current/act-1995-044" TargetMode="External"/><Relationship Id="rId14" Type="http://schemas.openxmlformats.org/officeDocument/2006/relationships/hyperlink" Target="https://www.publictrustee.tas.gov.au/contact/feedback/" TargetMode="External"/><Relationship Id="rId22" Type="http://schemas.openxmlformats.org/officeDocument/2006/relationships/hyperlink" Target="https://www.oaic.gov.au/__data/assets/pdf_file/0006/2004/the-australian-privacy-principl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sa.tas.gov.au/wp-content/uploads/2023/08/DA2368-Functional-Records-of-the-Public-Trust-Office.pdf" TargetMode="External"/><Relationship Id="rId2" Type="http://schemas.openxmlformats.org/officeDocument/2006/relationships/hyperlink" Target="https://www.legislation.tas.gov.au/view/whole/html/inforce/current/act-2004-046" TargetMode="External"/><Relationship Id="rId1" Type="http://schemas.openxmlformats.org/officeDocument/2006/relationships/hyperlink" Target="https://disability.royalcommission.gov.au/publications/united-nations-convention-rights-persons-disabilities-assessment-australias-level-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1C0A-37A0-4921-AEC5-0FD9C3EC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James</dc:creator>
  <cp:keywords/>
  <dc:description/>
  <cp:lastModifiedBy>Lilian James</cp:lastModifiedBy>
  <cp:revision>4</cp:revision>
  <dcterms:created xsi:type="dcterms:W3CDTF">2025-02-18T02:48:00Z</dcterms:created>
  <dcterms:modified xsi:type="dcterms:W3CDTF">2025-02-18T02:50:00Z</dcterms:modified>
</cp:coreProperties>
</file>