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PlainTable51"/>
        <w:tblW w:w="14459" w:type="dxa"/>
        <w:tblLook w:val="04A0" w:firstRow="1" w:lastRow="0" w:firstColumn="1" w:lastColumn="0" w:noHBand="0" w:noVBand="1"/>
      </w:tblPr>
      <w:tblGrid>
        <w:gridCol w:w="1927"/>
        <w:gridCol w:w="3986"/>
        <w:gridCol w:w="3682"/>
        <w:gridCol w:w="4864"/>
      </w:tblGrid>
      <w:tr w:rsidR="00917195" w:rsidRPr="00917195" w14:paraId="5FABAD5B" w14:textId="77777777" w:rsidTr="009171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27" w:type="dxa"/>
          </w:tcPr>
          <w:p w14:paraId="16C43558" w14:textId="77777777" w:rsidR="00917195" w:rsidRPr="00917195" w:rsidRDefault="00917195" w:rsidP="00917195">
            <w:pPr>
              <w:rPr>
                <w:b/>
                <w:bCs/>
                <w:color w:val="000000"/>
              </w:rPr>
            </w:pPr>
            <w:bookmarkStart w:id="0" w:name="_Hlk179810899"/>
            <w:r w:rsidRPr="00917195">
              <w:rPr>
                <w:b/>
                <w:bCs/>
                <w:color w:val="000000"/>
              </w:rPr>
              <w:t xml:space="preserve">STAKEHOLDER </w:t>
            </w:r>
          </w:p>
        </w:tc>
        <w:tc>
          <w:tcPr>
            <w:tcW w:w="3986" w:type="dxa"/>
          </w:tcPr>
          <w:p w14:paraId="003F2366" w14:textId="77777777" w:rsidR="00917195" w:rsidRPr="00917195" w:rsidRDefault="00917195" w:rsidP="0091719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</w:rPr>
            </w:pPr>
            <w:r w:rsidRPr="00917195">
              <w:rPr>
                <w:b/>
                <w:bCs/>
                <w:color w:val="000000"/>
              </w:rPr>
              <w:t xml:space="preserve"> HOW WE ENGAGE</w:t>
            </w:r>
          </w:p>
        </w:tc>
        <w:tc>
          <w:tcPr>
            <w:tcW w:w="3682" w:type="dxa"/>
          </w:tcPr>
          <w:p w14:paraId="113DBCE6" w14:textId="77777777" w:rsidR="00917195" w:rsidRPr="00917195" w:rsidRDefault="00917195" w:rsidP="0091719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</w:rPr>
            </w:pPr>
            <w:r w:rsidRPr="00917195">
              <w:rPr>
                <w:b/>
                <w:bCs/>
                <w:color w:val="000000"/>
              </w:rPr>
              <w:t>PREVALENT ISSUES</w:t>
            </w:r>
          </w:p>
        </w:tc>
        <w:tc>
          <w:tcPr>
            <w:tcW w:w="4864" w:type="dxa"/>
          </w:tcPr>
          <w:p w14:paraId="088489EB" w14:textId="77777777" w:rsidR="00917195" w:rsidRPr="00917195" w:rsidRDefault="00917195" w:rsidP="0091719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</w:rPr>
            </w:pPr>
            <w:r w:rsidRPr="00917195">
              <w:rPr>
                <w:b/>
                <w:bCs/>
                <w:color w:val="000000"/>
              </w:rPr>
              <w:t>OUR RESPONSE INCLUDES</w:t>
            </w:r>
          </w:p>
        </w:tc>
      </w:tr>
      <w:bookmarkEnd w:id="0"/>
      <w:tr w:rsidR="00917195" w:rsidRPr="00917195" w14:paraId="29E2DB6A" w14:textId="77777777" w:rsidTr="00EC05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582655CE" w14:textId="77777777" w:rsidR="00917195" w:rsidRPr="00917195" w:rsidRDefault="00917195" w:rsidP="00917195">
            <w:r w:rsidRPr="00917195">
              <w:t xml:space="preserve">Clients </w:t>
            </w:r>
          </w:p>
        </w:tc>
        <w:tc>
          <w:tcPr>
            <w:tcW w:w="3986" w:type="dxa"/>
          </w:tcPr>
          <w:p w14:paraId="51B6926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Website</w:t>
            </w:r>
          </w:p>
          <w:p w14:paraId="641B801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Customer feedback and complaints</w:t>
            </w:r>
          </w:p>
          <w:p w14:paraId="0E0CCF5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Social media</w:t>
            </w:r>
          </w:p>
          <w:p w14:paraId="1C7A005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Client contact: face to face, community engagement, phone, email and letter communications.</w:t>
            </w:r>
          </w:p>
        </w:tc>
        <w:tc>
          <w:tcPr>
            <w:tcW w:w="3682" w:type="dxa"/>
          </w:tcPr>
          <w:p w14:paraId="0F6AC52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Client financial hardship</w:t>
            </w:r>
          </w:p>
          <w:p w14:paraId="0E19EC3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Client service standards</w:t>
            </w:r>
          </w:p>
          <w:p w14:paraId="1388CB2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Accessibility and inclusion for service delivery</w:t>
            </w:r>
          </w:p>
          <w:p w14:paraId="01E6A60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Addressing complaints and feedback</w:t>
            </w:r>
          </w:p>
          <w:p w14:paraId="087D4FD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Mandatory reporting of elder abuse, disability and children and young people’s safety.</w:t>
            </w:r>
          </w:p>
          <w:p w14:paraId="4A6C9C0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Culturally sensitive supports for decision making</w:t>
            </w:r>
          </w:p>
        </w:tc>
        <w:tc>
          <w:tcPr>
            <w:tcW w:w="4864" w:type="dxa"/>
          </w:tcPr>
          <w:p w14:paraId="43AAE73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Annual Report highlighting client survey results, service improvements for client rights, will and preferences and investment returns.</w:t>
            </w:r>
          </w:p>
          <w:p w14:paraId="0E741CD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Consultation with clients on services and obligations for represented persons.</w:t>
            </w:r>
          </w:p>
          <w:p w14:paraId="178430D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Supported Decision Making through 1:1 client account management.</w:t>
            </w:r>
          </w:p>
          <w:p w14:paraId="45535B5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Client Safety Handbook – guidelines on trauma informed responses, diversity and inclusion, and vulnerable people.</w:t>
            </w:r>
          </w:p>
        </w:tc>
      </w:tr>
      <w:tr w:rsidR="00917195" w:rsidRPr="00917195" w14:paraId="0083EC79" w14:textId="77777777" w:rsidTr="00917195">
        <w:trPr>
          <w:trHeight w:val="33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7F0832B1" w14:textId="77777777" w:rsidR="00917195" w:rsidRPr="00917195" w:rsidRDefault="00917195" w:rsidP="00917195">
            <w:r w:rsidRPr="00917195">
              <w:t>Employees</w:t>
            </w:r>
          </w:p>
        </w:tc>
        <w:tc>
          <w:tcPr>
            <w:tcW w:w="3986" w:type="dxa"/>
          </w:tcPr>
          <w:p w14:paraId="788DB18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Employee satisfaction surveys</w:t>
            </w:r>
          </w:p>
          <w:p w14:paraId="6EE154C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Team meetings and 1:1 support</w:t>
            </w:r>
          </w:p>
          <w:p w14:paraId="557F0993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917195">
              <w:t>MyPT</w:t>
            </w:r>
            <w:proofErr w:type="spellEnd"/>
            <w:r w:rsidRPr="00917195">
              <w:t xml:space="preserve"> intranet updates on training and development and health and wellbeing.</w:t>
            </w:r>
          </w:p>
          <w:p w14:paraId="059F22C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WHS committee and Psychosocial hazard management working group</w:t>
            </w:r>
          </w:p>
          <w:p w14:paraId="4506B025" w14:textId="77777777" w:rsidR="00917195" w:rsidRPr="00917195" w:rsidRDefault="00917195" w:rsidP="009171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82" w:type="dxa"/>
          </w:tcPr>
          <w:p w14:paraId="2CA0529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Health and safety risk awareness and mitigation strategies</w:t>
            </w:r>
          </w:p>
          <w:p w14:paraId="1D8D017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Accommodation issues</w:t>
            </w:r>
          </w:p>
          <w:p w14:paraId="457EC65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Flexible working arrangements</w:t>
            </w:r>
          </w:p>
          <w:p w14:paraId="2B8BDEB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Talent attraction and retention</w:t>
            </w:r>
          </w:p>
          <w:p w14:paraId="2FEB9D3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Organisational restructure</w:t>
            </w:r>
          </w:p>
          <w:p w14:paraId="7CFA600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Simplifying outdated systems and processes</w:t>
            </w:r>
          </w:p>
          <w:p w14:paraId="2C42D6B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Unplanned leave</w:t>
            </w:r>
          </w:p>
        </w:tc>
        <w:tc>
          <w:tcPr>
            <w:tcW w:w="4864" w:type="dxa"/>
          </w:tcPr>
          <w:p w14:paraId="1B34132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Employee safety monitoring and incident reporting mobile app.</w:t>
            </w:r>
          </w:p>
          <w:p w14:paraId="37CFB5DB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Continuous improvement in WHSW through a psychosocial hazard management working group.</w:t>
            </w:r>
          </w:p>
          <w:p w14:paraId="3680619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Updated People &amp; Culture policy and procedures to implement changes to legislation.</w:t>
            </w:r>
          </w:p>
          <w:p w14:paraId="762D695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Employee Engagement Handbook for benefits and entitlements.</w:t>
            </w:r>
          </w:p>
          <w:p w14:paraId="472F66B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 xml:space="preserve">Performance development planning </w:t>
            </w:r>
          </w:p>
        </w:tc>
      </w:tr>
      <w:tr w:rsidR="00917195" w:rsidRPr="00917195" w14:paraId="2D9840DD" w14:textId="77777777" w:rsidTr="00EC05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601392B4" w14:textId="77777777" w:rsidR="00917195" w:rsidRPr="00917195" w:rsidRDefault="00917195" w:rsidP="00917195">
            <w:r w:rsidRPr="00917195">
              <w:t>Non-government organisations (NGO’s)</w:t>
            </w:r>
          </w:p>
        </w:tc>
        <w:tc>
          <w:tcPr>
            <w:tcW w:w="3986" w:type="dxa"/>
          </w:tcPr>
          <w:p w14:paraId="69EFFEC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Stakeholder reference group</w:t>
            </w:r>
          </w:p>
          <w:p w14:paraId="370EC3A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Conferences</w:t>
            </w:r>
          </w:p>
          <w:p w14:paraId="4C73EA6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Written correspondence</w:t>
            </w:r>
          </w:p>
          <w:p w14:paraId="15F549D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1:1 consultation</w:t>
            </w:r>
          </w:p>
        </w:tc>
        <w:tc>
          <w:tcPr>
            <w:tcW w:w="3682" w:type="dxa"/>
          </w:tcPr>
          <w:p w14:paraId="7E1F7D3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Consistency in service standards</w:t>
            </w:r>
          </w:p>
          <w:p w14:paraId="1912E62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Implementation of legislative changes</w:t>
            </w:r>
          </w:p>
          <w:p w14:paraId="0514D4F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Policies and procedures reflect client service charter</w:t>
            </w:r>
          </w:p>
        </w:tc>
        <w:tc>
          <w:tcPr>
            <w:tcW w:w="4864" w:type="dxa"/>
          </w:tcPr>
          <w:p w14:paraId="0B3ADD4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 xml:space="preserve">Executive engagement in developing &amp; implementing service standards </w:t>
            </w:r>
          </w:p>
          <w:p w14:paraId="6C48971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Feedback on issues that affect vulnerable client groups</w:t>
            </w:r>
          </w:p>
          <w:p w14:paraId="37D8DEB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Input into policy development</w:t>
            </w:r>
          </w:p>
          <w:p w14:paraId="15E5D7E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Alignment with organisational values</w:t>
            </w:r>
          </w:p>
        </w:tc>
      </w:tr>
      <w:tr w:rsidR="00917195" w:rsidRPr="00917195" w14:paraId="44C10896" w14:textId="77777777" w:rsidTr="00917195">
        <w:trPr>
          <w:trHeight w:val="4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  <w:tcBorders>
              <w:bottom w:val="single" w:sz="4" w:space="0" w:color="auto"/>
            </w:tcBorders>
          </w:tcPr>
          <w:p w14:paraId="6E28945E" w14:textId="77777777" w:rsidR="00917195" w:rsidRPr="00917195" w:rsidRDefault="00917195" w:rsidP="00917195">
            <w:pPr>
              <w:rPr>
                <w:szCs w:val="26"/>
              </w:rPr>
            </w:pPr>
            <w:r w:rsidRPr="00917195">
              <w:rPr>
                <w:b/>
                <w:bCs/>
                <w:color w:val="000000"/>
                <w:szCs w:val="26"/>
              </w:rPr>
              <w:lastRenderedPageBreak/>
              <w:t xml:space="preserve">STAKEHOLDER </w:t>
            </w:r>
          </w:p>
        </w:tc>
        <w:tc>
          <w:tcPr>
            <w:tcW w:w="3986" w:type="dxa"/>
            <w:tcBorders>
              <w:bottom w:val="single" w:sz="4" w:space="0" w:color="auto"/>
            </w:tcBorders>
            <w:shd w:val="clear" w:color="auto" w:fill="auto"/>
          </w:tcPr>
          <w:p w14:paraId="25D0C85F" w14:textId="77777777" w:rsidR="00917195" w:rsidRPr="00917195" w:rsidRDefault="00917195" w:rsidP="009171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 xml:space="preserve"> HOW WE ENGAGE</w:t>
            </w:r>
          </w:p>
        </w:tc>
        <w:tc>
          <w:tcPr>
            <w:tcW w:w="3682" w:type="dxa"/>
            <w:tcBorders>
              <w:bottom w:val="single" w:sz="4" w:space="0" w:color="auto"/>
            </w:tcBorders>
            <w:shd w:val="clear" w:color="auto" w:fill="auto"/>
          </w:tcPr>
          <w:p w14:paraId="55A39F7B" w14:textId="77777777" w:rsidR="00917195" w:rsidRPr="00917195" w:rsidRDefault="00917195" w:rsidP="00917195">
            <w:pPr>
              <w:ind w:left="-3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>PREVALENT ISSUES</w:t>
            </w:r>
          </w:p>
        </w:tc>
        <w:tc>
          <w:tcPr>
            <w:tcW w:w="4864" w:type="dxa"/>
            <w:tcBorders>
              <w:bottom w:val="single" w:sz="4" w:space="0" w:color="auto"/>
            </w:tcBorders>
            <w:shd w:val="clear" w:color="auto" w:fill="auto"/>
          </w:tcPr>
          <w:p w14:paraId="012A09A7" w14:textId="77777777" w:rsidR="00917195" w:rsidRPr="00917195" w:rsidRDefault="00917195" w:rsidP="0091719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>OUR RESPONSE INCLUDES</w:t>
            </w:r>
          </w:p>
        </w:tc>
      </w:tr>
      <w:tr w:rsidR="00917195" w:rsidRPr="00917195" w14:paraId="282DDB50" w14:textId="77777777" w:rsidTr="00EC05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  <w:tcBorders>
              <w:top w:val="single" w:sz="4" w:space="0" w:color="auto"/>
            </w:tcBorders>
          </w:tcPr>
          <w:p w14:paraId="3C732FD2" w14:textId="77777777" w:rsidR="00917195" w:rsidRPr="00917195" w:rsidRDefault="00917195" w:rsidP="00917195">
            <w:r w:rsidRPr="00917195">
              <w:t>Industry stakeholders</w:t>
            </w:r>
          </w:p>
        </w:tc>
        <w:tc>
          <w:tcPr>
            <w:tcW w:w="3986" w:type="dxa"/>
            <w:tcBorders>
              <w:top w:val="single" w:sz="4" w:space="0" w:color="auto"/>
            </w:tcBorders>
          </w:tcPr>
          <w:p w14:paraId="29FE5B9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Investment management consultancy</w:t>
            </w:r>
          </w:p>
          <w:p w14:paraId="1E0D651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Service providers client management consultation</w:t>
            </w:r>
          </w:p>
        </w:tc>
        <w:tc>
          <w:tcPr>
            <w:tcW w:w="3682" w:type="dxa"/>
            <w:tcBorders>
              <w:top w:val="single" w:sz="4" w:space="0" w:color="auto"/>
            </w:tcBorders>
          </w:tcPr>
          <w:p w14:paraId="02EBC8A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Implementation of reviews, reforms and Royal Commissions of enquiry</w:t>
            </w:r>
          </w:p>
        </w:tc>
        <w:tc>
          <w:tcPr>
            <w:tcW w:w="4864" w:type="dxa"/>
            <w:tcBorders>
              <w:top w:val="single" w:sz="4" w:space="0" w:color="auto"/>
            </w:tcBorders>
          </w:tcPr>
          <w:p w14:paraId="2A7E337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Annual reports</w:t>
            </w:r>
          </w:p>
          <w:p w14:paraId="468A4DC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News and updates</w:t>
            </w:r>
          </w:p>
          <w:p w14:paraId="42D6B67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Client account statements and reports</w:t>
            </w:r>
          </w:p>
          <w:p w14:paraId="4221DD2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Services, fees and charges information</w:t>
            </w:r>
          </w:p>
        </w:tc>
      </w:tr>
      <w:tr w:rsidR="00917195" w:rsidRPr="00917195" w14:paraId="3A7A3638" w14:textId="77777777" w:rsidTr="00EC05D8">
        <w:trPr>
          <w:trHeight w:val="25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0243641B" w14:textId="77777777" w:rsidR="00917195" w:rsidRPr="00917195" w:rsidRDefault="00917195" w:rsidP="00917195">
            <w:r w:rsidRPr="00917195">
              <w:t>Industry Councils</w:t>
            </w:r>
          </w:p>
        </w:tc>
        <w:tc>
          <w:tcPr>
            <w:tcW w:w="3986" w:type="dxa"/>
          </w:tcPr>
          <w:p w14:paraId="6E6423B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Meetings</w:t>
            </w:r>
          </w:p>
          <w:p w14:paraId="12BA2CE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Regulatory reporting</w:t>
            </w:r>
          </w:p>
          <w:p w14:paraId="0B58434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Policy and trend analysis</w:t>
            </w:r>
          </w:p>
          <w:p w14:paraId="5418B8B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Trustee services national engagement.</w:t>
            </w:r>
          </w:p>
          <w:p w14:paraId="5373A68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Submissions</w:t>
            </w:r>
          </w:p>
          <w:p w14:paraId="16C8D65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18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Australian Guardianship Administration Council (AGAC)</w:t>
            </w:r>
          </w:p>
        </w:tc>
        <w:tc>
          <w:tcPr>
            <w:tcW w:w="3682" w:type="dxa"/>
          </w:tcPr>
          <w:p w14:paraId="31D3E27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 xml:space="preserve">Industry-specific reporting obligations </w:t>
            </w:r>
          </w:p>
          <w:p w14:paraId="28A473D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National standards</w:t>
            </w:r>
          </w:p>
          <w:p w14:paraId="47FC827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Implementing outcomes of Royal Commissions of Enquiry.</w:t>
            </w:r>
          </w:p>
          <w:p w14:paraId="3D2662D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State/National legislative changes</w:t>
            </w:r>
          </w:p>
        </w:tc>
        <w:tc>
          <w:tcPr>
            <w:tcW w:w="4864" w:type="dxa"/>
          </w:tcPr>
          <w:p w14:paraId="04AA370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Sharing information across all states</w:t>
            </w:r>
          </w:p>
          <w:p w14:paraId="110EFE5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Collaboration through national dialogue</w:t>
            </w:r>
          </w:p>
          <w:p w14:paraId="073FF273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Advice to government</w:t>
            </w:r>
          </w:p>
          <w:p w14:paraId="3B44EB03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Promote consistency in terminology nationally</w:t>
            </w:r>
          </w:p>
          <w:p w14:paraId="5DF8A5A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Inter-state cooperation and recognition</w:t>
            </w:r>
          </w:p>
          <w:p w14:paraId="26F725F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Protocols and adopted standards</w:t>
            </w:r>
          </w:p>
          <w:p w14:paraId="727981E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Submissions to Royal Commissions of Inquiry</w:t>
            </w:r>
          </w:p>
        </w:tc>
      </w:tr>
      <w:tr w:rsidR="00917195" w:rsidRPr="00917195" w14:paraId="5EE332CC" w14:textId="77777777" w:rsidTr="00EC05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7D7EC301" w14:textId="77777777" w:rsidR="00917195" w:rsidRPr="00917195" w:rsidRDefault="00917195" w:rsidP="00917195">
            <w:r w:rsidRPr="00917195">
              <w:t>Suppliers</w:t>
            </w:r>
          </w:p>
        </w:tc>
        <w:tc>
          <w:tcPr>
            <w:tcW w:w="3986" w:type="dxa"/>
          </w:tcPr>
          <w:p w14:paraId="030BF43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Tender correspondence</w:t>
            </w:r>
          </w:p>
          <w:p w14:paraId="7CA425A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Contractor inductions</w:t>
            </w:r>
          </w:p>
          <w:p w14:paraId="4045BC2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Emails, letters and phone</w:t>
            </w:r>
          </w:p>
          <w:p w14:paraId="4E4F38F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Meetings and service callouts</w:t>
            </w:r>
          </w:p>
          <w:p w14:paraId="5048788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Property management meetings</w:t>
            </w:r>
          </w:p>
          <w:p w14:paraId="07449A0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Procurement and invoice processing</w:t>
            </w:r>
          </w:p>
        </w:tc>
        <w:tc>
          <w:tcPr>
            <w:tcW w:w="3682" w:type="dxa"/>
          </w:tcPr>
          <w:p w14:paraId="6DD4CC5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Employment entitlements and WHSW obligations</w:t>
            </w:r>
          </w:p>
          <w:p w14:paraId="17B0E7E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Procurement obligations iaw Treasurer’s instructions for GBE’s.</w:t>
            </w:r>
          </w:p>
          <w:p w14:paraId="78BC38F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Crown Law requirements for lease and service agreements</w:t>
            </w:r>
          </w:p>
          <w:p w14:paraId="67E3401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Tenancy obligations for property management</w:t>
            </w:r>
          </w:p>
        </w:tc>
        <w:tc>
          <w:tcPr>
            <w:tcW w:w="4864" w:type="dxa"/>
          </w:tcPr>
          <w:p w14:paraId="141E87B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Contractor Management Toolkit, induction form for risk management and WHS compliance.</w:t>
            </w:r>
          </w:p>
          <w:p w14:paraId="7248B39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 xml:space="preserve">Licences and professional registrations </w:t>
            </w:r>
          </w:p>
          <w:p w14:paraId="6A1EB8B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Crown law advice received on contract obligations</w:t>
            </w:r>
          </w:p>
          <w:p w14:paraId="37A03C7D" w14:textId="6A6B906F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 xml:space="preserve">Voluntary Modern Slavery Statement </w:t>
            </w:r>
            <w:r w:rsidR="00EC05D8">
              <w:t>in development.</w:t>
            </w:r>
          </w:p>
          <w:p w14:paraId="193D474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5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Property maintenance schedule</w:t>
            </w:r>
          </w:p>
        </w:tc>
      </w:tr>
      <w:tr w:rsidR="00917195" w:rsidRPr="00917195" w14:paraId="1E21F3AC" w14:textId="77777777" w:rsidTr="00EC05D8">
        <w:trPr>
          <w:trHeight w:val="25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4D20A010" w14:textId="77777777" w:rsidR="00917195" w:rsidRPr="00917195" w:rsidRDefault="00917195" w:rsidP="00917195">
            <w:r w:rsidRPr="00917195">
              <w:t>Government Shareholding Minister (Treasury)</w:t>
            </w:r>
          </w:p>
        </w:tc>
        <w:tc>
          <w:tcPr>
            <w:tcW w:w="3986" w:type="dxa"/>
          </w:tcPr>
          <w:p w14:paraId="77A96B7D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Board engagement</w:t>
            </w:r>
          </w:p>
          <w:p w14:paraId="398D86E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CEO engagement</w:t>
            </w:r>
          </w:p>
          <w:p w14:paraId="057D4CB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Performance assurance meetings.</w:t>
            </w:r>
          </w:p>
          <w:p w14:paraId="32F511E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Continuous disclosure of material matters, operations, targets, policy issues, customer and environmental issues.</w:t>
            </w:r>
          </w:p>
        </w:tc>
        <w:tc>
          <w:tcPr>
            <w:tcW w:w="3682" w:type="dxa"/>
          </w:tcPr>
          <w:p w14:paraId="7EBC835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Community Service Obligations (CSO)</w:t>
            </w:r>
          </w:p>
          <w:p w14:paraId="210771D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Sound commercial practices</w:t>
            </w:r>
          </w:p>
          <w:p w14:paraId="35A6A7F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Review of governance structure</w:t>
            </w:r>
          </w:p>
          <w:p w14:paraId="558648F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Transparency of cost and price information</w:t>
            </w:r>
          </w:p>
        </w:tc>
        <w:tc>
          <w:tcPr>
            <w:tcW w:w="4864" w:type="dxa"/>
          </w:tcPr>
          <w:p w14:paraId="1BA9A883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 xml:space="preserve">See </w:t>
            </w:r>
            <w:hyperlink r:id="rId7" w:history="1">
              <w:r w:rsidRPr="00917195">
                <w:rPr>
                  <w:color w:val="467886"/>
                  <w:u w:val="single"/>
                </w:rPr>
                <w:t>key dates</w:t>
              </w:r>
            </w:hyperlink>
            <w:r w:rsidRPr="00917195">
              <w:t xml:space="preserve"> (GBE TI’s p.2)</w:t>
            </w:r>
          </w:p>
          <w:p w14:paraId="56B2645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Quarterly reports (Sep, March and June)</w:t>
            </w:r>
          </w:p>
          <w:p w14:paraId="14BFFA4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Half-yearly reports by 28 Feb.</w:t>
            </w:r>
          </w:p>
          <w:p w14:paraId="23F24B9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Annual report and statement of compliance by 31 Oct.</w:t>
            </w:r>
          </w:p>
          <w:p w14:paraId="214BB89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No requirement for an AGM.</w:t>
            </w:r>
          </w:p>
          <w:p w14:paraId="70F5BB5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CSO annual reviews for effectiveness and efficiency.</w:t>
            </w:r>
          </w:p>
        </w:tc>
      </w:tr>
      <w:tr w:rsidR="00917195" w:rsidRPr="00917195" w14:paraId="04502AC7" w14:textId="77777777" w:rsidTr="009171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  <w:tcBorders>
              <w:bottom w:val="single" w:sz="4" w:space="0" w:color="auto"/>
            </w:tcBorders>
            <w:shd w:val="clear" w:color="auto" w:fill="auto"/>
          </w:tcPr>
          <w:p w14:paraId="178DBDF7" w14:textId="77777777" w:rsidR="00917195" w:rsidRPr="00917195" w:rsidRDefault="00917195" w:rsidP="00917195">
            <w:pPr>
              <w:rPr>
                <w:b/>
                <w:bCs/>
                <w:color w:val="000000"/>
                <w:szCs w:val="26"/>
              </w:rPr>
            </w:pPr>
            <w:r w:rsidRPr="00917195">
              <w:rPr>
                <w:b/>
                <w:bCs/>
                <w:color w:val="000000"/>
                <w:szCs w:val="26"/>
              </w:rPr>
              <w:lastRenderedPageBreak/>
              <w:t xml:space="preserve">STAKEHOLDER </w:t>
            </w:r>
          </w:p>
        </w:tc>
        <w:tc>
          <w:tcPr>
            <w:tcW w:w="3986" w:type="dxa"/>
            <w:tcBorders>
              <w:bottom w:val="single" w:sz="4" w:space="0" w:color="auto"/>
            </w:tcBorders>
            <w:shd w:val="clear" w:color="auto" w:fill="auto"/>
          </w:tcPr>
          <w:p w14:paraId="33BD7437" w14:textId="77777777" w:rsidR="00917195" w:rsidRPr="00917195" w:rsidRDefault="00917195" w:rsidP="009171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000000"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 xml:space="preserve"> HOW WE ENGAGE</w:t>
            </w:r>
          </w:p>
        </w:tc>
        <w:tc>
          <w:tcPr>
            <w:tcW w:w="3682" w:type="dxa"/>
            <w:tcBorders>
              <w:bottom w:val="single" w:sz="4" w:space="0" w:color="auto"/>
            </w:tcBorders>
            <w:shd w:val="clear" w:color="auto" w:fill="auto"/>
          </w:tcPr>
          <w:p w14:paraId="06202066" w14:textId="77777777" w:rsidR="00917195" w:rsidRPr="00917195" w:rsidRDefault="00917195" w:rsidP="009171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000000"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>PREVALENT ISSUES</w:t>
            </w:r>
          </w:p>
        </w:tc>
        <w:tc>
          <w:tcPr>
            <w:tcW w:w="4864" w:type="dxa"/>
            <w:tcBorders>
              <w:bottom w:val="single" w:sz="4" w:space="0" w:color="auto"/>
            </w:tcBorders>
            <w:shd w:val="clear" w:color="auto" w:fill="auto"/>
          </w:tcPr>
          <w:p w14:paraId="1987A84C" w14:textId="77777777" w:rsidR="00917195" w:rsidRPr="00917195" w:rsidRDefault="00917195" w:rsidP="009171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i/>
                <w:iCs/>
                <w:color w:val="000000"/>
                <w:sz w:val="26"/>
                <w:szCs w:val="26"/>
              </w:rPr>
            </w:pPr>
            <w:r w:rsidRPr="00917195">
              <w:rPr>
                <w:b/>
                <w:bCs/>
                <w:i/>
                <w:iCs/>
                <w:color w:val="000000"/>
                <w:sz w:val="26"/>
                <w:szCs w:val="26"/>
              </w:rPr>
              <w:t>OUR RESPONSE INCLUDES</w:t>
            </w:r>
          </w:p>
        </w:tc>
      </w:tr>
      <w:tr w:rsidR="00917195" w:rsidRPr="00917195" w14:paraId="4E932D0A" w14:textId="77777777" w:rsidTr="00917195">
        <w:trPr>
          <w:trHeight w:val="19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  <w:tcBorders>
              <w:top w:val="single" w:sz="4" w:space="0" w:color="auto"/>
              <w:right w:val="single" w:sz="4" w:space="0" w:color="auto"/>
            </w:tcBorders>
          </w:tcPr>
          <w:p w14:paraId="1285CC7E" w14:textId="77777777" w:rsidR="00917195" w:rsidRPr="00917195" w:rsidRDefault="00917195" w:rsidP="00917195">
            <w:r w:rsidRPr="00917195">
              <w:t>Agency (OPG)</w:t>
            </w: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</w:tcBorders>
          </w:tcPr>
          <w:p w14:paraId="3202BA1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CEO engagement</w:t>
            </w:r>
          </w:p>
          <w:p w14:paraId="2DA9E6A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Conferences and industry events</w:t>
            </w:r>
          </w:p>
          <w:p w14:paraId="6A02C73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Stakeholder Reference Group</w:t>
            </w:r>
          </w:p>
          <w:p w14:paraId="07A1A9C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Client Account Management attendance</w:t>
            </w:r>
          </w:p>
          <w:p w14:paraId="5FFB097D" w14:textId="77777777" w:rsidR="00917195" w:rsidRPr="00917195" w:rsidRDefault="00917195" w:rsidP="00917195">
            <w:p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682" w:type="dxa"/>
            <w:tcBorders>
              <w:top w:val="single" w:sz="4" w:space="0" w:color="auto"/>
            </w:tcBorders>
          </w:tcPr>
          <w:p w14:paraId="3CA7E43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Legislative changes to implement supported decision making</w:t>
            </w:r>
          </w:p>
          <w:p w14:paraId="0FEAE9BA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Royal commissions of enquiry</w:t>
            </w:r>
          </w:p>
          <w:p w14:paraId="42152C9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Review of Public Trustee governance structure</w:t>
            </w:r>
          </w:p>
        </w:tc>
        <w:tc>
          <w:tcPr>
            <w:tcW w:w="4864" w:type="dxa"/>
            <w:tcBorders>
              <w:top w:val="single" w:sz="4" w:space="0" w:color="auto"/>
            </w:tcBorders>
          </w:tcPr>
          <w:p w14:paraId="415C29D1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Targeted engagement as part of stakeholder network liaison</w:t>
            </w:r>
          </w:p>
          <w:p w14:paraId="07BD2107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1:1 consultation regarding governance, legislation and policy implementation</w:t>
            </w:r>
          </w:p>
          <w:p w14:paraId="7DA8C4C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1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Client Account Managers and PST Manager liaison regarding Tribunal processes and outcomes.</w:t>
            </w:r>
          </w:p>
        </w:tc>
      </w:tr>
      <w:tr w:rsidR="00917195" w:rsidRPr="00917195" w14:paraId="0D087B19" w14:textId="77777777" w:rsidTr="00EC05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  <w:tcBorders>
              <w:right w:val="single" w:sz="4" w:space="0" w:color="auto"/>
            </w:tcBorders>
          </w:tcPr>
          <w:p w14:paraId="7F33AB93" w14:textId="77777777" w:rsidR="00917195" w:rsidRPr="00917195" w:rsidRDefault="00917195" w:rsidP="00917195">
            <w:r w:rsidRPr="00917195">
              <w:t>Tribunal (TASCAT)</w:t>
            </w:r>
          </w:p>
        </w:tc>
        <w:tc>
          <w:tcPr>
            <w:tcW w:w="3986" w:type="dxa"/>
            <w:tcBorders>
              <w:left w:val="single" w:sz="4" w:space="0" w:color="auto"/>
            </w:tcBorders>
          </w:tcPr>
          <w:p w14:paraId="7C4A298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Formal consultation with CEO in accordance with law.</w:t>
            </w:r>
          </w:p>
          <w:p w14:paraId="4427F51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CAMS’ attendance at Tribunal hearings.</w:t>
            </w:r>
          </w:p>
        </w:tc>
        <w:tc>
          <w:tcPr>
            <w:tcW w:w="3682" w:type="dxa"/>
          </w:tcPr>
          <w:p w14:paraId="4BF22D2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TASCAT Reporting requirements under new legislation.</w:t>
            </w:r>
          </w:p>
          <w:p w14:paraId="24BA003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‘Decision-making ability’ assessment – s11 of the GAA Act.</w:t>
            </w:r>
          </w:p>
          <w:p w14:paraId="0EA609EE" w14:textId="77777777" w:rsidR="00917195" w:rsidRPr="00917195" w:rsidRDefault="00917195" w:rsidP="0091719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864" w:type="dxa"/>
          </w:tcPr>
          <w:p w14:paraId="12D7B6C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8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All reports are provided in accordance with legislation to required timeline.</w:t>
            </w:r>
          </w:p>
          <w:p w14:paraId="788C609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8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TASCAT Administrator’s Annual Report</w:t>
            </w:r>
          </w:p>
          <w:p w14:paraId="3C624856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8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Financial Summary</w:t>
            </w:r>
          </w:p>
          <w:p w14:paraId="217DF02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8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Review Order Application</w:t>
            </w:r>
          </w:p>
          <w:p w14:paraId="77739528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48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Facilitate other supporting documentation</w:t>
            </w:r>
          </w:p>
          <w:p w14:paraId="282E232F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17195">
              <w:t>Health Professionals Report (HPR) – Guardianship and Administration</w:t>
            </w:r>
          </w:p>
        </w:tc>
      </w:tr>
      <w:tr w:rsidR="00917195" w:rsidRPr="00917195" w14:paraId="797CA704" w14:textId="77777777" w:rsidTr="00917195">
        <w:trPr>
          <w:trHeight w:val="17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7" w:type="dxa"/>
          </w:tcPr>
          <w:p w14:paraId="19672A54" w14:textId="77777777" w:rsidR="00917195" w:rsidRPr="00917195" w:rsidRDefault="00917195" w:rsidP="00917195">
            <w:r w:rsidRPr="00917195">
              <w:t xml:space="preserve">Community groups </w:t>
            </w:r>
          </w:p>
        </w:tc>
        <w:tc>
          <w:tcPr>
            <w:tcW w:w="3986" w:type="dxa"/>
          </w:tcPr>
          <w:p w14:paraId="25CF8D7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Social media</w:t>
            </w:r>
          </w:p>
          <w:p w14:paraId="2673DE5C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Traditional media</w:t>
            </w:r>
          </w:p>
          <w:p w14:paraId="4626431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Ongoing dialogue with community partners</w:t>
            </w:r>
          </w:p>
          <w:p w14:paraId="44E9AB9E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Workshops and conferences</w:t>
            </w:r>
          </w:p>
          <w:p w14:paraId="53699E72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Stakeholder Reference Group</w:t>
            </w:r>
          </w:p>
        </w:tc>
        <w:tc>
          <w:tcPr>
            <w:tcW w:w="3682" w:type="dxa"/>
          </w:tcPr>
          <w:p w14:paraId="15F0514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Education regarding services changes in line with legislation and commissions of enquiry.</w:t>
            </w:r>
          </w:p>
          <w:p w14:paraId="3F6B172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Financial independent pathways for vulnerable client base</w:t>
            </w:r>
          </w:p>
          <w:p w14:paraId="0A638DB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Health, pensions and housing services</w:t>
            </w:r>
          </w:p>
          <w:p w14:paraId="28401320" w14:textId="77777777" w:rsidR="00917195" w:rsidRPr="00917195" w:rsidRDefault="00917195" w:rsidP="00917195">
            <w:pPr>
              <w:ind w:left="322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864" w:type="dxa"/>
          </w:tcPr>
          <w:p w14:paraId="3D2A7935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19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Website and social media</w:t>
            </w:r>
          </w:p>
          <w:p w14:paraId="2178C424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19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Annual reports</w:t>
            </w:r>
          </w:p>
          <w:p w14:paraId="31096369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19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Community engagement at workshops and conferences</w:t>
            </w:r>
          </w:p>
          <w:p w14:paraId="50376DD0" w14:textId="77777777" w:rsidR="00917195" w:rsidRPr="00917195" w:rsidRDefault="00917195" w:rsidP="00917195">
            <w:pPr>
              <w:numPr>
                <w:ilvl w:val="0"/>
                <w:numId w:val="1"/>
              </w:numPr>
              <w:ind w:left="319"/>
              <w:contextualSpacing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17195">
              <w:t>Targeted engagement with advocacy groups</w:t>
            </w:r>
          </w:p>
        </w:tc>
      </w:tr>
    </w:tbl>
    <w:p w14:paraId="50919957" w14:textId="77777777" w:rsidR="00D246E6" w:rsidRDefault="00D246E6"/>
    <w:sectPr w:rsidR="00D246E6" w:rsidSect="00917195">
      <w:headerReference w:type="default" r:id="rId8"/>
      <w:footerReference w:type="default" r:id="rId9"/>
      <w:pgSz w:w="16838" w:h="11906" w:orient="landscape"/>
      <w:pgMar w:top="1560" w:right="1440" w:bottom="709" w:left="144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AF9D1C" w14:textId="77777777" w:rsidR="00917195" w:rsidRDefault="00917195" w:rsidP="00917195">
      <w:pPr>
        <w:spacing w:after="0" w:line="240" w:lineRule="auto"/>
      </w:pPr>
      <w:r>
        <w:separator/>
      </w:r>
    </w:p>
  </w:endnote>
  <w:endnote w:type="continuationSeparator" w:id="0">
    <w:p w14:paraId="688450DC" w14:textId="77777777" w:rsidR="00917195" w:rsidRDefault="00917195" w:rsidP="009171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C6B4F0" w14:textId="5DE98AE0" w:rsidR="00917195" w:rsidRDefault="00917195" w:rsidP="00917195">
    <w:pPr>
      <w:pStyle w:val="Footer"/>
      <w:ind w:left="-1418"/>
    </w:pPr>
    <w:r>
      <w:rPr>
        <w:noProof/>
      </w:rPr>
      <w:drawing>
        <wp:inline distT="0" distB="0" distL="0" distR="0" wp14:anchorId="638199CD" wp14:editId="05A246A0">
          <wp:extent cx="10707907" cy="202290"/>
          <wp:effectExtent l="0" t="0" r="0" b="7620"/>
          <wp:docPr id="20677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655408" name="Picture 496554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38311" cy="2255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C9AD0D" w14:textId="77777777" w:rsidR="00917195" w:rsidRDefault="00917195" w:rsidP="00917195">
      <w:pPr>
        <w:spacing w:after="0" w:line="240" w:lineRule="auto"/>
      </w:pPr>
      <w:r>
        <w:separator/>
      </w:r>
    </w:p>
  </w:footnote>
  <w:footnote w:type="continuationSeparator" w:id="0">
    <w:p w14:paraId="1C2C6971" w14:textId="77777777" w:rsidR="00917195" w:rsidRDefault="00917195" w:rsidP="009171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3AEC43" w14:textId="76047C28" w:rsidR="00917195" w:rsidRPr="00917195" w:rsidRDefault="00917195">
    <w:pPr>
      <w:pStyle w:val="Header"/>
      <w:rPr>
        <w:rFonts w:ascii="Century Gothic" w:hAnsi="Century Gothic"/>
        <w:i/>
        <w:iCs/>
      </w:rPr>
    </w:pPr>
    <w:r>
      <w:rPr>
        <w:rFonts w:ascii="Century Gothic" w:hAnsi="Century Gothic"/>
        <w:i/>
        <w:iCs/>
        <w:noProof/>
      </w:rPr>
      <w:drawing>
        <wp:anchor distT="0" distB="0" distL="114300" distR="114300" simplePos="0" relativeHeight="251658240" behindDoc="0" locked="0" layoutInCell="1" allowOverlap="1" wp14:anchorId="7B3DE72D" wp14:editId="532FC146">
          <wp:simplePos x="0" y="0"/>
          <wp:positionH relativeFrom="column">
            <wp:posOffset>8201025</wp:posOffset>
          </wp:positionH>
          <wp:positionV relativeFrom="paragraph">
            <wp:posOffset>-399415</wp:posOffset>
          </wp:positionV>
          <wp:extent cx="952500" cy="939800"/>
          <wp:effectExtent l="0" t="0" r="0" b="0"/>
          <wp:wrapThrough wrapText="bothSides">
            <wp:wrapPolygon edited="0">
              <wp:start x="0" y="0"/>
              <wp:lineTo x="0" y="21016"/>
              <wp:lineTo x="21168" y="21016"/>
              <wp:lineTo x="21168" y="0"/>
              <wp:lineTo x="0" y="0"/>
            </wp:wrapPolygon>
          </wp:wrapThrough>
          <wp:docPr id="2021686126" name="Picture 1" descr="A blue circle with two people in the midd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9114561" name="Picture 1" descr="A blue circle with two people in the middl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939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17195">
      <w:rPr>
        <w:rFonts w:ascii="Century Gothic" w:hAnsi="Century Gothic"/>
        <w:i/>
        <w:iCs/>
      </w:rPr>
      <w:t>Public Trustee Tasmania – Impact Materiality Statement</w:t>
    </w:r>
    <w:r>
      <w:rPr>
        <w:rFonts w:ascii="Century Gothic" w:hAnsi="Century Gothic"/>
        <w:i/>
        <w:iCs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F03201"/>
    <w:multiLevelType w:val="hybridMultilevel"/>
    <w:tmpl w:val="6884F178"/>
    <w:lvl w:ilvl="0" w:tplc="1E38B6C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54203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195"/>
    <w:rsid w:val="000C6BB1"/>
    <w:rsid w:val="001C6DB1"/>
    <w:rsid w:val="00917195"/>
    <w:rsid w:val="00B16E08"/>
    <w:rsid w:val="00B6448A"/>
    <w:rsid w:val="00B85E1A"/>
    <w:rsid w:val="00BB18D0"/>
    <w:rsid w:val="00D246E6"/>
    <w:rsid w:val="00EC05D8"/>
    <w:rsid w:val="00FD5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12C20BE"/>
  <w15:chartTrackingRefBased/>
  <w15:docId w15:val="{6A892085-86B0-4028-89AF-4AE7B268E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B18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171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71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71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71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71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171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171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171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ndPageHeader">
    <w:name w:val="End Page Header"/>
    <w:basedOn w:val="Heading1"/>
    <w:link w:val="EndPageHeaderChar"/>
    <w:autoRedefine/>
    <w:qFormat/>
    <w:rsid w:val="00BB18D0"/>
    <w:pPr>
      <w:spacing w:before="1" w:after="0" w:line="247" w:lineRule="auto"/>
      <w:ind w:left="993" w:hanging="1493"/>
      <w:jc w:val="center"/>
    </w:pPr>
    <w:rPr>
      <w:rFonts w:asciiTheme="minorHAnsi" w:eastAsiaTheme="minorHAnsi" w:hAnsiTheme="minorHAnsi" w:cstheme="minorBidi"/>
      <w:color w:val="FFFFFF" w:themeColor="background1"/>
      <w:spacing w:val="-16"/>
      <w:sz w:val="52"/>
      <w:szCs w:val="16"/>
      <w14:textFill>
        <w14:noFill/>
      </w14:textFill>
    </w:rPr>
  </w:style>
  <w:style w:type="character" w:customStyle="1" w:styleId="EndPageHeaderChar">
    <w:name w:val="End Page Header Char"/>
    <w:basedOn w:val="DefaultParagraphFont"/>
    <w:link w:val="EndPageHeader"/>
    <w:rsid w:val="00BB18D0"/>
    <w:rPr>
      <w:color w:val="FFFFFF" w:themeColor="background1"/>
      <w:spacing w:val="-16"/>
      <w:sz w:val="52"/>
      <w:szCs w:val="16"/>
      <w14:textFill>
        <w14:noFill/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BB18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71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71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1719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719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1719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1719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1719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1719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171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171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71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171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171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1719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1719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1719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171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1719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17195"/>
    <w:rPr>
      <w:b/>
      <w:bCs/>
      <w:smallCaps/>
      <w:color w:val="0F4761" w:themeColor="accent1" w:themeShade="BF"/>
      <w:spacing w:val="5"/>
    </w:rPr>
  </w:style>
  <w:style w:type="table" w:customStyle="1" w:styleId="PlainTable51">
    <w:name w:val="Plain Table 51"/>
    <w:basedOn w:val="TableNormal"/>
    <w:next w:val="PlainTable5"/>
    <w:uiPriority w:val="45"/>
    <w:rsid w:val="00917195"/>
    <w:pPr>
      <w:spacing w:after="0" w:line="240" w:lineRule="auto"/>
    </w:pPr>
    <w:rPr>
      <w:rFonts w:ascii="Century Gothic" w:eastAsia="Times New Roman" w:hAnsi="Century Gothic" w:cs="Times New Roman"/>
      <w:kern w:val="0"/>
      <w:sz w:val="22"/>
      <w:szCs w:val="22"/>
      <w14:ligatures w14:val="none"/>
    </w:rPr>
    <w:tblPr>
      <w:tblStyleRowBandSize w:val="1"/>
      <w:tblStyleColBandSize w:val="1"/>
    </w:tblPr>
    <w:tblStylePr w:type="firstRow">
      <w:rPr>
        <w:rFonts w:ascii="Century Gothic" w:eastAsia="Times New Roman" w:hAnsi="Century Gothic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entury Gothic" w:eastAsia="Times New Roman" w:hAnsi="Century Gothic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entury Gothic" w:eastAsia="Times New Roman" w:hAnsi="Century Gothic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entury Gothic" w:eastAsia="Times New Roman" w:hAnsi="Century Gothic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5">
    <w:name w:val="Plain Table 5"/>
    <w:basedOn w:val="TableNormal"/>
    <w:uiPriority w:val="45"/>
    <w:rsid w:val="0091719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9171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195"/>
  </w:style>
  <w:style w:type="paragraph" w:styleId="Footer">
    <w:name w:val="footer"/>
    <w:basedOn w:val="Normal"/>
    <w:link w:val="FooterChar"/>
    <w:uiPriority w:val="99"/>
    <w:unhideWhenUsed/>
    <w:rsid w:val="009171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1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reasury.tas.gov.au/Documents/Reporting-Guidelines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814</Words>
  <Characters>5047</Characters>
  <Application>Microsoft Office Word</Application>
  <DocSecurity>0</DocSecurity>
  <Lines>265</Lines>
  <Paragraphs>167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Lilian James</dc:creator>
  <cp:keywords/>
  <dc:description/>
  <cp:lastModifiedBy>Lilian James</cp:lastModifiedBy>
  <cp:revision>2</cp:revision>
  <dcterms:created xsi:type="dcterms:W3CDTF">2024-11-13T02:59:00Z</dcterms:created>
  <dcterms:modified xsi:type="dcterms:W3CDTF">2024-11-13T03:12:00Z</dcterms:modified>
</cp:coreProperties>
</file>